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16FAC" w14:textId="77777777" w:rsidR="007A37A1" w:rsidRDefault="00120C9A">
      <w:pPr>
        <w:pStyle w:val="Corpsdetexte"/>
        <w:ind w:left="149"/>
        <w:rPr>
          <w:rFonts w:ascii="Times New Roman"/>
          <w:sz w:val="20"/>
        </w:rPr>
      </w:pPr>
      <w:r>
        <w:rPr>
          <w:rFonts w:ascii="Times New Roman"/>
          <w:sz w:val="20"/>
        </w:rPr>
      </w:r>
      <w:r>
        <w:rPr>
          <w:rFonts w:ascii="Times New Roman"/>
          <w:sz w:val="20"/>
        </w:rPr>
        <w:pict w14:anchorId="64C24A3C">
          <v:shapetype id="_x0000_t202" coordsize="21600,21600" o:spt="202" path="m,l,21600r21600,l21600,xe">
            <v:stroke joinstyle="miter"/>
            <v:path gradientshapeok="t" o:connecttype="rect"/>
          </v:shapetype>
          <v:shape id="_x0000_s1027" type="#_x0000_t202" alt="" style="width:489pt;height:62.2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dae2f3">
            <v:textbox inset="0,0,0,0">
              <w:txbxContent>
                <w:p w14:paraId="4D77985B" w14:textId="77777777" w:rsidR="007A37A1" w:rsidRDefault="007A37A1">
                  <w:pPr>
                    <w:pStyle w:val="Corpsdetexte"/>
                    <w:rPr>
                      <w:rFonts w:ascii="Times New Roman"/>
                    </w:rPr>
                  </w:pPr>
                </w:p>
                <w:p w14:paraId="001CC011" w14:textId="77777777" w:rsidR="007A37A1" w:rsidRPr="00253DEC" w:rsidRDefault="00087E6A">
                  <w:pPr>
                    <w:spacing w:before="139"/>
                    <w:ind w:left="311"/>
                    <w:rPr>
                      <w:rFonts w:ascii="Arial" w:hAnsi="Arial"/>
                      <w:b/>
                      <w:lang w:val="fr-FR"/>
                    </w:rPr>
                  </w:pPr>
                  <w:r w:rsidRPr="00253DEC">
                    <w:rPr>
                      <w:rFonts w:ascii="Arial" w:hAnsi="Arial"/>
                      <w:b/>
                      <w:w w:val="95"/>
                      <w:lang w:val="fr-FR"/>
                    </w:rPr>
                    <w:t>Merci</w:t>
                  </w:r>
                  <w:r w:rsidRPr="00253DEC">
                    <w:rPr>
                      <w:rFonts w:ascii="Arial" w:hAnsi="Arial"/>
                      <w:b/>
                      <w:spacing w:val="-36"/>
                      <w:w w:val="95"/>
                      <w:lang w:val="fr-FR"/>
                    </w:rPr>
                    <w:t xml:space="preserve"> </w:t>
                  </w:r>
                  <w:r w:rsidRPr="00253DEC">
                    <w:rPr>
                      <w:rFonts w:ascii="Arial" w:hAnsi="Arial"/>
                      <w:b/>
                      <w:w w:val="95"/>
                      <w:lang w:val="fr-FR"/>
                    </w:rPr>
                    <w:t>de</w:t>
                  </w:r>
                  <w:r w:rsidRPr="00253DEC">
                    <w:rPr>
                      <w:rFonts w:ascii="Arial" w:hAnsi="Arial"/>
                      <w:b/>
                      <w:spacing w:val="-36"/>
                      <w:w w:val="95"/>
                      <w:lang w:val="fr-FR"/>
                    </w:rPr>
                    <w:t xml:space="preserve"> </w:t>
                  </w:r>
                  <w:r w:rsidRPr="00253DEC">
                    <w:rPr>
                      <w:rFonts w:ascii="Arial" w:hAnsi="Arial"/>
                      <w:b/>
                      <w:w w:val="95"/>
                      <w:lang w:val="fr-FR"/>
                    </w:rPr>
                    <w:t>ne</w:t>
                  </w:r>
                  <w:r w:rsidRPr="00253DEC">
                    <w:rPr>
                      <w:rFonts w:ascii="Arial" w:hAnsi="Arial"/>
                      <w:b/>
                      <w:spacing w:val="-37"/>
                      <w:w w:val="95"/>
                      <w:lang w:val="fr-FR"/>
                    </w:rPr>
                    <w:t xml:space="preserve"> </w:t>
                  </w:r>
                  <w:r w:rsidRPr="00253DEC">
                    <w:rPr>
                      <w:rFonts w:ascii="Arial" w:hAnsi="Arial"/>
                      <w:b/>
                      <w:w w:val="95"/>
                      <w:lang w:val="fr-FR"/>
                    </w:rPr>
                    <w:t>rien</w:t>
                  </w:r>
                  <w:r w:rsidRPr="00253DEC">
                    <w:rPr>
                      <w:rFonts w:ascii="Arial" w:hAnsi="Arial"/>
                      <w:b/>
                      <w:spacing w:val="-35"/>
                      <w:w w:val="95"/>
                      <w:lang w:val="fr-FR"/>
                    </w:rPr>
                    <w:t xml:space="preserve"> </w:t>
                  </w:r>
                  <w:r w:rsidRPr="00253DEC">
                    <w:rPr>
                      <w:rFonts w:ascii="Arial" w:hAnsi="Arial"/>
                      <w:b/>
                      <w:w w:val="95"/>
                      <w:lang w:val="fr-FR"/>
                    </w:rPr>
                    <w:t>inscrire</w:t>
                  </w:r>
                  <w:r w:rsidRPr="00253DEC">
                    <w:rPr>
                      <w:rFonts w:ascii="Arial" w:hAnsi="Arial"/>
                      <w:b/>
                      <w:spacing w:val="-36"/>
                      <w:w w:val="95"/>
                      <w:lang w:val="fr-FR"/>
                    </w:rPr>
                    <w:t xml:space="preserve"> </w:t>
                  </w:r>
                  <w:r w:rsidRPr="00253DEC">
                    <w:rPr>
                      <w:rFonts w:ascii="Arial" w:hAnsi="Arial"/>
                      <w:b/>
                      <w:w w:val="95"/>
                      <w:lang w:val="fr-FR"/>
                    </w:rPr>
                    <w:t>dans</w:t>
                  </w:r>
                  <w:r w:rsidRPr="00253DEC">
                    <w:rPr>
                      <w:rFonts w:ascii="Arial" w:hAnsi="Arial"/>
                      <w:b/>
                      <w:spacing w:val="-36"/>
                      <w:w w:val="95"/>
                      <w:lang w:val="fr-FR"/>
                    </w:rPr>
                    <w:t xml:space="preserve"> </w:t>
                  </w:r>
                  <w:r w:rsidRPr="00253DEC">
                    <w:rPr>
                      <w:rFonts w:ascii="Arial" w:hAnsi="Arial"/>
                      <w:b/>
                      <w:w w:val="95"/>
                      <w:lang w:val="fr-FR"/>
                    </w:rPr>
                    <w:t>cette</w:t>
                  </w:r>
                  <w:r w:rsidRPr="00253DEC">
                    <w:rPr>
                      <w:rFonts w:ascii="Arial" w:hAnsi="Arial"/>
                      <w:b/>
                      <w:spacing w:val="-36"/>
                      <w:w w:val="95"/>
                      <w:lang w:val="fr-FR"/>
                    </w:rPr>
                    <w:t xml:space="preserve"> </w:t>
                  </w:r>
                  <w:r w:rsidRPr="00253DEC">
                    <w:rPr>
                      <w:rFonts w:ascii="Arial" w:hAnsi="Arial"/>
                      <w:b/>
                      <w:w w:val="95"/>
                      <w:lang w:val="fr-FR"/>
                    </w:rPr>
                    <w:t>zone</w:t>
                  </w:r>
                  <w:r w:rsidRPr="00253DEC">
                    <w:rPr>
                      <w:rFonts w:ascii="Arial" w:hAnsi="Arial"/>
                      <w:b/>
                      <w:spacing w:val="-37"/>
                      <w:w w:val="95"/>
                      <w:lang w:val="fr-FR"/>
                    </w:rPr>
                    <w:t xml:space="preserve"> </w:t>
                  </w:r>
                  <w:r w:rsidRPr="00253DEC">
                    <w:rPr>
                      <w:rFonts w:ascii="Arial" w:hAnsi="Arial"/>
                      <w:b/>
                      <w:w w:val="95"/>
                      <w:lang w:val="fr-FR"/>
                    </w:rPr>
                    <w:t>et</w:t>
                  </w:r>
                  <w:r w:rsidRPr="00253DEC">
                    <w:rPr>
                      <w:rFonts w:ascii="Arial" w:hAnsi="Arial"/>
                      <w:b/>
                      <w:spacing w:val="-37"/>
                      <w:w w:val="95"/>
                      <w:lang w:val="fr-FR"/>
                    </w:rPr>
                    <w:t xml:space="preserve"> </w:t>
                  </w:r>
                  <w:r w:rsidRPr="00253DEC">
                    <w:rPr>
                      <w:rFonts w:ascii="Arial" w:hAnsi="Arial"/>
                      <w:b/>
                      <w:w w:val="95"/>
                      <w:lang w:val="fr-FR"/>
                    </w:rPr>
                    <w:t>ne</w:t>
                  </w:r>
                  <w:r w:rsidRPr="00253DEC">
                    <w:rPr>
                      <w:rFonts w:ascii="Arial" w:hAnsi="Arial"/>
                      <w:b/>
                      <w:spacing w:val="-37"/>
                      <w:w w:val="95"/>
                      <w:lang w:val="fr-FR"/>
                    </w:rPr>
                    <w:t xml:space="preserve"> </w:t>
                  </w:r>
                  <w:r w:rsidRPr="00253DEC">
                    <w:rPr>
                      <w:rFonts w:ascii="Arial" w:hAnsi="Arial"/>
                      <w:b/>
                      <w:w w:val="95"/>
                      <w:lang w:val="fr-FR"/>
                    </w:rPr>
                    <w:t>pas</w:t>
                  </w:r>
                  <w:r w:rsidRPr="00253DEC">
                    <w:rPr>
                      <w:rFonts w:ascii="Arial" w:hAnsi="Arial"/>
                      <w:b/>
                      <w:spacing w:val="-35"/>
                      <w:w w:val="95"/>
                      <w:lang w:val="fr-FR"/>
                    </w:rPr>
                    <w:t xml:space="preserve"> </w:t>
                  </w:r>
                  <w:r w:rsidRPr="00253DEC">
                    <w:rPr>
                      <w:rFonts w:ascii="Arial" w:hAnsi="Arial"/>
                      <w:b/>
                      <w:w w:val="95"/>
                      <w:lang w:val="fr-FR"/>
                    </w:rPr>
                    <w:t>modifier</w:t>
                  </w:r>
                  <w:r w:rsidRPr="00253DEC">
                    <w:rPr>
                      <w:rFonts w:ascii="Arial" w:hAnsi="Arial"/>
                      <w:b/>
                      <w:spacing w:val="-35"/>
                      <w:w w:val="95"/>
                      <w:lang w:val="fr-FR"/>
                    </w:rPr>
                    <w:t xml:space="preserve"> </w:t>
                  </w:r>
                  <w:r w:rsidRPr="00253DEC">
                    <w:rPr>
                      <w:rFonts w:ascii="Arial" w:hAnsi="Arial"/>
                      <w:b/>
                      <w:w w:val="95"/>
                      <w:lang w:val="fr-FR"/>
                    </w:rPr>
                    <w:t>les</w:t>
                  </w:r>
                  <w:r w:rsidRPr="00253DEC">
                    <w:rPr>
                      <w:rFonts w:ascii="Arial" w:hAnsi="Arial"/>
                      <w:b/>
                      <w:spacing w:val="-35"/>
                      <w:w w:val="95"/>
                      <w:lang w:val="fr-FR"/>
                    </w:rPr>
                    <w:t xml:space="preserve"> </w:t>
                  </w:r>
                  <w:r w:rsidRPr="00253DEC">
                    <w:rPr>
                      <w:rFonts w:ascii="Arial" w:hAnsi="Arial"/>
                      <w:b/>
                      <w:w w:val="95"/>
                      <w:lang w:val="fr-FR"/>
                    </w:rPr>
                    <w:t>marges</w:t>
                  </w:r>
                  <w:r w:rsidRPr="00253DEC">
                    <w:rPr>
                      <w:rFonts w:ascii="Arial" w:hAnsi="Arial"/>
                      <w:b/>
                      <w:spacing w:val="-38"/>
                      <w:w w:val="95"/>
                      <w:lang w:val="fr-FR"/>
                    </w:rPr>
                    <w:t xml:space="preserve"> </w:t>
                  </w:r>
                  <w:r w:rsidRPr="00253DEC">
                    <w:rPr>
                      <w:rFonts w:ascii="Arial" w:hAnsi="Arial"/>
                      <w:b/>
                      <w:w w:val="95"/>
                      <w:lang w:val="fr-FR"/>
                    </w:rPr>
                    <w:t>des</w:t>
                  </w:r>
                  <w:r w:rsidRPr="00253DEC">
                    <w:rPr>
                      <w:rFonts w:ascii="Arial" w:hAnsi="Arial"/>
                      <w:b/>
                      <w:spacing w:val="-37"/>
                      <w:w w:val="95"/>
                      <w:lang w:val="fr-FR"/>
                    </w:rPr>
                    <w:t xml:space="preserve"> </w:t>
                  </w:r>
                  <w:r w:rsidRPr="00253DEC">
                    <w:rPr>
                      <w:rFonts w:ascii="Arial" w:hAnsi="Arial"/>
                      <w:b/>
                      <w:w w:val="95"/>
                      <w:lang w:val="fr-FR"/>
                    </w:rPr>
                    <w:t>pieds</w:t>
                  </w:r>
                  <w:r w:rsidRPr="00253DEC">
                    <w:rPr>
                      <w:rFonts w:ascii="Arial" w:hAnsi="Arial"/>
                      <w:b/>
                      <w:spacing w:val="-38"/>
                      <w:w w:val="95"/>
                      <w:lang w:val="fr-FR"/>
                    </w:rPr>
                    <w:t xml:space="preserve"> </w:t>
                  </w:r>
                  <w:r w:rsidRPr="00253DEC">
                    <w:rPr>
                      <w:rFonts w:ascii="Arial" w:hAnsi="Arial"/>
                      <w:b/>
                      <w:w w:val="95"/>
                      <w:lang w:val="fr-FR"/>
                    </w:rPr>
                    <w:t>de</w:t>
                  </w:r>
                  <w:r w:rsidRPr="00253DEC">
                    <w:rPr>
                      <w:rFonts w:ascii="Arial" w:hAnsi="Arial"/>
                      <w:b/>
                      <w:spacing w:val="-37"/>
                      <w:w w:val="95"/>
                      <w:lang w:val="fr-FR"/>
                    </w:rPr>
                    <w:t xml:space="preserve"> </w:t>
                  </w:r>
                  <w:r w:rsidRPr="00253DEC">
                    <w:rPr>
                      <w:rFonts w:ascii="Arial" w:hAnsi="Arial"/>
                      <w:b/>
                      <w:w w:val="95"/>
                      <w:lang w:val="fr-FR"/>
                    </w:rPr>
                    <w:t>page</w:t>
                  </w:r>
                  <w:r w:rsidRPr="00253DEC">
                    <w:rPr>
                      <w:rFonts w:ascii="Arial" w:hAnsi="Arial"/>
                      <w:b/>
                      <w:spacing w:val="-36"/>
                      <w:w w:val="95"/>
                      <w:lang w:val="fr-FR"/>
                    </w:rPr>
                    <w:t xml:space="preserve"> </w:t>
                  </w:r>
                  <w:r w:rsidRPr="00253DEC">
                    <w:rPr>
                      <w:rFonts w:ascii="Arial" w:hAnsi="Arial"/>
                      <w:b/>
                      <w:w w:val="95"/>
                      <w:lang w:val="fr-FR"/>
                    </w:rPr>
                    <w:t>et</w:t>
                  </w:r>
                  <w:r w:rsidRPr="00253DEC">
                    <w:rPr>
                      <w:rFonts w:ascii="Arial" w:hAnsi="Arial"/>
                      <w:b/>
                      <w:spacing w:val="-37"/>
                      <w:w w:val="95"/>
                      <w:lang w:val="fr-FR"/>
                    </w:rPr>
                    <w:t xml:space="preserve"> </w:t>
                  </w:r>
                  <w:r w:rsidRPr="00253DEC">
                    <w:rPr>
                      <w:rFonts w:ascii="Arial" w:hAnsi="Arial"/>
                      <w:b/>
                      <w:w w:val="95"/>
                      <w:lang w:val="fr-FR"/>
                    </w:rPr>
                    <w:t>entêtes.</w:t>
                  </w:r>
                </w:p>
              </w:txbxContent>
            </v:textbox>
            <w10:anchorlock/>
          </v:shape>
        </w:pict>
      </w:r>
    </w:p>
    <w:p w14:paraId="1FD5E550" w14:textId="77777777" w:rsidR="007A37A1" w:rsidRDefault="007A37A1">
      <w:pPr>
        <w:pStyle w:val="Corpsdetexte"/>
        <w:spacing w:before="6"/>
        <w:rPr>
          <w:rFonts w:ascii="Times New Roman"/>
          <w:sz w:val="28"/>
        </w:rPr>
      </w:pPr>
    </w:p>
    <w:p w14:paraId="6BCB0101" w14:textId="77777777" w:rsidR="007A37A1" w:rsidRPr="00253DEC" w:rsidRDefault="00087E6A">
      <w:pPr>
        <w:spacing w:before="101" w:line="242" w:lineRule="auto"/>
        <w:ind w:left="480" w:right="1156"/>
        <w:jc w:val="center"/>
        <w:rPr>
          <w:b/>
          <w:sz w:val="28"/>
          <w:lang w:val="fr-FR"/>
        </w:rPr>
      </w:pPr>
      <w:bookmarkStart w:id="0" w:name="Modifications_de_la_composition_isotopiq"/>
      <w:bookmarkEnd w:id="0"/>
      <w:r w:rsidRPr="00253DEC">
        <w:rPr>
          <w:b/>
          <w:sz w:val="28"/>
          <w:lang w:val="fr-FR"/>
        </w:rPr>
        <w:t xml:space="preserve">Modifications de la composition isotopique du magnésium chez des cochons nains </w:t>
      </w:r>
      <w:r w:rsidR="00253DEC">
        <w:rPr>
          <w:b/>
          <w:sz w:val="28"/>
          <w:lang w:val="fr-FR"/>
        </w:rPr>
        <w:t>attein</w:t>
      </w:r>
      <w:r w:rsidR="005815B5">
        <w:rPr>
          <w:b/>
          <w:sz w:val="28"/>
          <w:lang w:val="fr-FR"/>
        </w:rPr>
        <w:t>t</w:t>
      </w:r>
      <w:r w:rsidR="00253DEC">
        <w:rPr>
          <w:b/>
          <w:sz w:val="28"/>
          <w:lang w:val="fr-FR"/>
        </w:rPr>
        <w:t>s de diabète de type 2</w:t>
      </w:r>
      <w:r w:rsidR="00943701">
        <w:rPr>
          <w:b/>
          <w:sz w:val="28"/>
          <w:lang w:val="fr-FR"/>
        </w:rPr>
        <w:t xml:space="preserve"> (DT2)</w:t>
      </w:r>
      <w:r w:rsidR="00253DEC">
        <w:rPr>
          <w:b/>
          <w:sz w:val="28"/>
          <w:lang w:val="fr-FR"/>
        </w:rPr>
        <w:t>.</w:t>
      </w:r>
    </w:p>
    <w:p w14:paraId="65F2867C" w14:textId="77777777" w:rsidR="007A37A1" w:rsidRPr="00253DEC" w:rsidRDefault="007A37A1">
      <w:pPr>
        <w:pStyle w:val="Corpsdetexte"/>
        <w:spacing w:before="4"/>
        <w:rPr>
          <w:b/>
          <w:sz w:val="32"/>
          <w:lang w:val="fr-FR"/>
        </w:rPr>
      </w:pPr>
    </w:p>
    <w:p w14:paraId="241E3E75" w14:textId="77777777" w:rsidR="007A37A1" w:rsidRPr="00253DEC" w:rsidRDefault="00087E6A">
      <w:pPr>
        <w:pStyle w:val="Corpsdetexte"/>
        <w:ind w:left="646"/>
        <w:rPr>
          <w:sz w:val="14"/>
          <w:lang w:val="fr-FR"/>
        </w:rPr>
      </w:pPr>
      <w:bookmarkStart w:id="1" w:name="Samuel_Le_Goff∗1,_Emmanuelle_Albalat_1,_"/>
      <w:bookmarkEnd w:id="1"/>
      <w:r w:rsidRPr="00253DEC">
        <w:rPr>
          <w:lang w:val="fr-FR"/>
        </w:rPr>
        <w:t>Samuel Le Goff</w:t>
      </w:r>
      <w:r w:rsidRPr="00253DEC">
        <w:rPr>
          <w:rFonts w:ascii="Arial Unicode MS" w:hAnsi="Arial Unicode MS"/>
          <w:position w:val="5"/>
          <w:sz w:val="14"/>
          <w:lang w:val="fr-FR"/>
        </w:rPr>
        <w:t>∗</w:t>
      </w:r>
      <w:r w:rsidRPr="00253DEC">
        <w:rPr>
          <w:position w:val="6"/>
          <w:sz w:val="14"/>
          <w:lang w:val="fr-FR"/>
        </w:rPr>
        <w:t>1</w:t>
      </w:r>
      <w:r w:rsidRPr="00253DEC">
        <w:rPr>
          <w:lang w:val="fr-FR"/>
        </w:rPr>
        <w:t xml:space="preserve">, Emmanuelle </w:t>
      </w:r>
      <w:proofErr w:type="spellStart"/>
      <w:r w:rsidRPr="00253DEC">
        <w:rPr>
          <w:lang w:val="fr-FR"/>
        </w:rPr>
        <w:t>Albalat</w:t>
      </w:r>
      <w:proofErr w:type="spellEnd"/>
      <w:r w:rsidRPr="00253DEC">
        <w:rPr>
          <w:lang w:val="fr-FR"/>
        </w:rPr>
        <w:t xml:space="preserve"> </w:t>
      </w:r>
      <w:r w:rsidRPr="00253DEC">
        <w:rPr>
          <w:position w:val="6"/>
          <w:sz w:val="14"/>
          <w:lang w:val="fr-FR"/>
        </w:rPr>
        <w:t>1</w:t>
      </w:r>
      <w:r w:rsidRPr="00253DEC">
        <w:rPr>
          <w:lang w:val="fr-FR"/>
        </w:rPr>
        <w:t xml:space="preserve">, Jean-Philippe Godin </w:t>
      </w:r>
      <w:r w:rsidRPr="00253DEC">
        <w:rPr>
          <w:position w:val="6"/>
          <w:sz w:val="14"/>
          <w:lang w:val="fr-FR"/>
        </w:rPr>
        <w:t>2</w:t>
      </w:r>
      <w:r w:rsidRPr="00253DEC">
        <w:rPr>
          <w:lang w:val="fr-FR"/>
        </w:rPr>
        <w:t xml:space="preserve">, Vincent Balter </w:t>
      </w:r>
      <w:r w:rsidRPr="00253DEC">
        <w:rPr>
          <w:position w:val="6"/>
          <w:sz w:val="14"/>
          <w:lang w:val="fr-FR"/>
        </w:rPr>
        <w:t>1</w:t>
      </w:r>
    </w:p>
    <w:p w14:paraId="374EC833" w14:textId="77777777" w:rsidR="007A37A1" w:rsidRPr="00253DEC" w:rsidRDefault="007A37A1">
      <w:pPr>
        <w:pStyle w:val="Corpsdetexte"/>
        <w:spacing w:before="9"/>
        <w:rPr>
          <w:sz w:val="31"/>
          <w:lang w:val="fr-FR"/>
        </w:rPr>
      </w:pPr>
    </w:p>
    <w:p w14:paraId="6463211F" w14:textId="77777777" w:rsidR="007A37A1" w:rsidRPr="00253DEC" w:rsidRDefault="00087E6A">
      <w:pPr>
        <w:ind w:left="155"/>
        <w:rPr>
          <w:sz w:val="18"/>
          <w:lang w:val="fr-FR"/>
        </w:rPr>
      </w:pPr>
      <w:r w:rsidRPr="00253DEC">
        <w:rPr>
          <w:sz w:val="12"/>
          <w:lang w:val="fr-FR"/>
        </w:rPr>
        <w:t xml:space="preserve">1 </w:t>
      </w:r>
      <w:r w:rsidRPr="00253DEC">
        <w:rPr>
          <w:sz w:val="18"/>
          <w:lang w:val="fr-FR"/>
        </w:rPr>
        <w:t>École Normale Supérieure de Lyon, CNRS, UMR 5276, LGLTPE, Lyon, France</w:t>
      </w:r>
    </w:p>
    <w:p w14:paraId="49FA7EDF" w14:textId="77777777" w:rsidR="007A37A1" w:rsidRPr="00253DEC" w:rsidRDefault="00087E6A">
      <w:pPr>
        <w:spacing w:before="1"/>
        <w:ind w:left="155"/>
        <w:rPr>
          <w:sz w:val="18"/>
          <w:lang w:val="fr-FR"/>
        </w:rPr>
      </w:pPr>
      <w:bookmarkStart w:id="2" w:name="2_Netslé_Research,_Lausanne,_Switzerland"/>
      <w:bookmarkEnd w:id="2"/>
      <w:r w:rsidRPr="00253DEC">
        <w:rPr>
          <w:sz w:val="12"/>
          <w:lang w:val="fr-FR"/>
        </w:rPr>
        <w:t xml:space="preserve">2 </w:t>
      </w:r>
      <w:proofErr w:type="spellStart"/>
      <w:r w:rsidRPr="00253DEC">
        <w:rPr>
          <w:sz w:val="18"/>
          <w:lang w:val="fr-FR"/>
        </w:rPr>
        <w:t>Netslé</w:t>
      </w:r>
      <w:proofErr w:type="spellEnd"/>
      <w:r w:rsidRPr="00253DEC">
        <w:rPr>
          <w:sz w:val="18"/>
          <w:lang w:val="fr-FR"/>
        </w:rPr>
        <w:t xml:space="preserve"> </w:t>
      </w:r>
      <w:proofErr w:type="spellStart"/>
      <w:r w:rsidRPr="00253DEC">
        <w:rPr>
          <w:sz w:val="18"/>
          <w:lang w:val="fr-FR"/>
        </w:rPr>
        <w:t>Research</w:t>
      </w:r>
      <w:proofErr w:type="spellEnd"/>
      <w:r w:rsidRPr="00253DEC">
        <w:rPr>
          <w:sz w:val="18"/>
          <w:lang w:val="fr-FR"/>
        </w:rPr>
        <w:t xml:space="preserve">, Lausanne, </w:t>
      </w:r>
      <w:proofErr w:type="spellStart"/>
      <w:r w:rsidRPr="00253DEC">
        <w:rPr>
          <w:sz w:val="18"/>
          <w:lang w:val="fr-FR"/>
        </w:rPr>
        <w:t>Switzerland</w:t>
      </w:r>
      <w:proofErr w:type="spellEnd"/>
    </w:p>
    <w:p w14:paraId="29E21E55" w14:textId="77777777" w:rsidR="007A37A1" w:rsidRPr="00253DEC" w:rsidRDefault="007A37A1">
      <w:pPr>
        <w:pStyle w:val="Corpsdetexte"/>
        <w:rPr>
          <w:sz w:val="20"/>
          <w:lang w:val="fr-FR"/>
        </w:rPr>
      </w:pPr>
    </w:p>
    <w:p w14:paraId="62B27D3E" w14:textId="77777777" w:rsidR="007A37A1" w:rsidRPr="00253DEC" w:rsidRDefault="007A37A1">
      <w:pPr>
        <w:pStyle w:val="Corpsdetexte"/>
        <w:rPr>
          <w:sz w:val="16"/>
          <w:lang w:val="fr-FR"/>
        </w:rPr>
      </w:pPr>
    </w:p>
    <w:p w14:paraId="747B8F9C" w14:textId="77777777" w:rsidR="0083298D" w:rsidRPr="00FF4405" w:rsidRDefault="00087E6A" w:rsidP="00FF4405">
      <w:pPr>
        <w:pStyle w:val="Corpsdetexte"/>
        <w:spacing w:line="259" w:lineRule="auto"/>
        <w:ind w:left="155" w:right="803" w:firstLine="140"/>
        <w:jc w:val="both"/>
        <w:rPr>
          <w:lang w:val="fr-FR"/>
        </w:rPr>
      </w:pPr>
      <w:r w:rsidRPr="00253DEC">
        <w:rPr>
          <w:lang w:val="fr-FR"/>
        </w:rPr>
        <w:t xml:space="preserve">Le magnésium (Mg) est un élément </w:t>
      </w:r>
      <w:proofErr w:type="spellStart"/>
      <w:r w:rsidRPr="00253DEC">
        <w:rPr>
          <w:lang w:val="fr-FR"/>
        </w:rPr>
        <w:t>bioessentiel</w:t>
      </w:r>
      <w:proofErr w:type="spellEnd"/>
      <w:r w:rsidRPr="00253DEC">
        <w:rPr>
          <w:lang w:val="fr-FR"/>
        </w:rPr>
        <w:t xml:space="preserve"> impliqué dans de nombreux processus physiologiques. C'est le deuxième cation intracellulaire le plus abondant et le quatrième élément minéral le plus abondant dans le corps humain. Il joue un rôle crucial dans le métabolisme des glucides et l'action de l'insulin</w:t>
      </w:r>
      <w:r w:rsidR="00253DEC">
        <w:rPr>
          <w:lang w:val="fr-FR"/>
        </w:rPr>
        <w:t xml:space="preserve">e. </w:t>
      </w:r>
      <w:r w:rsidR="00253DEC" w:rsidRPr="00AE506D">
        <w:rPr>
          <w:lang w:val="fr-FR"/>
        </w:rPr>
        <w:t xml:space="preserve">Il a été démontré qu’une carence en Mg est associée au </w:t>
      </w:r>
      <w:r w:rsidR="00943701" w:rsidRPr="00AE506D">
        <w:rPr>
          <w:lang w:val="fr-FR"/>
        </w:rPr>
        <w:t>DT2</w:t>
      </w:r>
      <w:sdt>
        <w:sdtPr>
          <w:rPr>
            <w:lang w:val="fr-FR"/>
          </w:rPr>
          <w:id w:val="330486544"/>
          <w:citation/>
        </w:sdtPr>
        <w:sdtEndPr/>
        <w:sdtContent>
          <w:r w:rsidR="00DD78B4">
            <w:rPr>
              <w:lang w:val="fr-FR"/>
            </w:rPr>
            <w:fldChar w:fldCharType="begin"/>
          </w:r>
          <w:r w:rsidR="00DD78B4" w:rsidRPr="00AE506D">
            <w:rPr>
              <w:lang w:val="fr-FR"/>
            </w:rPr>
            <w:instrText xml:space="preserve"> CITATION Sch92 \l 1036 </w:instrText>
          </w:r>
          <w:r w:rsidR="00DD78B4">
            <w:rPr>
              <w:lang w:val="fr-FR"/>
            </w:rPr>
            <w:fldChar w:fldCharType="separate"/>
          </w:r>
          <w:r w:rsidR="00AE506D" w:rsidRPr="00AE506D">
            <w:rPr>
              <w:noProof/>
              <w:lang w:val="fr-FR"/>
            </w:rPr>
            <w:t xml:space="preserve"> (1)</w:t>
          </w:r>
          <w:r w:rsidR="00DD78B4">
            <w:rPr>
              <w:lang w:val="fr-FR"/>
            </w:rPr>
            <w:fldChar w:fldCharType="end"/>
          </w:r>
        </w:sdtContent>
      </w:sdt>
      <w:sdt>
        <w:sdtPr>
          <w:rPr>
            <w:lang w:val="fr-FR"/>
          </w:rPr>
          <w:id w:val="-412154397"/>
          <w:citation/>
        </w:sdtPr>
        <w:sdtEndPr/>
        <w:sdtContent>
          <w:r w:rsidR="00DD78B4">
            <w:rPr>
              <w:lang w:val="fr-FR"/>
            </w:rPr>
            <w:fldChar w:fldCharType="begin"/>
          </w:r>
          <w:r w:rsidR="00DD78B4" w:rsidRPr="00AE506D">
            <w:rPr>
              <w:lang w:val="fr-FR"/>
            </w:rPr>
            <w:instrText xml:space="preserve"> CITATION Wan05 \l 1036 </w:instrText>
          </w:r>
          <w:r w:rsidR="00DD78B4">
            <w:rPr>
              <w:lang w:val="fr-FR"/>
            </w:rPr>
            <w:fldChar w:fldCharType="separate"/>
          </w:r>
          <w:r w:rsidR="00AE506D" w:rsidRPr="00AE506D">
            <w:rPr>
              <w:noProof/>
              <w:lang w:val="fr-FR"/>
            </w:rPr>
            <w:t xml:space="preserve"> (2)</w:t>
          </w:r>
          <w:r w:rsidR="00DD78B4">
            <w:rPr>
              <w:lang w:val="fr-FR"/>
            </w:rPr>
            <w:fldChar w:fldCharType="end"/>
          </w:r>
        </w:sdtContent>
      </w:sdt>
      <w:r w:rsidR="00253DEC" w:rsidRPr="00AE506D">
        <w:rPr>
          <w:lang w:val="fr-FR"/>
        </w:rPr>
        <w:t>.</w:t>
      </w:r>
      <w:r w:rsidR="00691839" w:rsidRPr="00AE506D">
        <w:rPr>
          <w:lang w:val="fr-FR"/>
        </w:rPr>
        <w:t xml:space="preserve"> </w:t>
      </w:r>
      <w:r w:rsidR="00943701">
        <w:rPr>
          <w:lang w:val="fr-FR"/>
        </w:rPr>
        <w:t>La</w:t>
      </w:r>
      <w:r w:rsidR="00DD78B4" w:rsidRPr="00DD78B4">
        <w:rPr>
          <w:lang w:val="fr-FR"/>
        </w:rPr>
        <w:t xml:space="preserve"> disponibilité du Mg</w:t>
      </w:r>
      <w:r w:rsidR="00DD78B4" w:rsidRPr="00C133FB">
        <w:rPr>
          <w:sz w:val="24"/>
          <w:szCs w:val="24"/>
          <w:vertAlign w:val="superscript"/>
          <w:lang w:val="fr-FR"/>
        </w:rPr>
        <w:t>2+</w:t>
      </w:r>
      <w:r w:rsidR="00DD78B4" w:rsidRPr="00C133FB">
        <w:rPr>
          <w:sz w:val="24"/>
          <w:szCs w:val="24"/>
          <w:lang w:val="fr-FR"/>
        </w:rPr>
        <w:t xml:space="preserve"> </w:t>
      </w:r>
      <w:r w:rsidR="00DD78B4" w:rsidRPr="00DD78B4">
        <w:rPr>
          <w:lang w:val="fr-FR"/>
        </w:rPr>
        <w:t>est d'une importance majeure pour</w:t>
      </w:r>
      <w:r w:rsidR="00943701">
        <w:rPr>
          <w:lang w:val="fr-FR"/>
        </w:rPr>
        <w:t xml:space="preserve"> la régulation de nombreuses enzymes impliquées dans</w:t>
      </w:r>
      <w:r w:rsidR="00DD78B4" w:rsidRPr="00DD78B4">
        <w:rPr>
          <w:lang w:val="fr-FR"/>
        </w:rPr>
        <w:t xml:space="preserve"> le métabolisme du glucose</w:t>
      </w:r>
      <w:r w:rsidR="00943701">
        <w:rPr>
          <w:lang w:val="fr-FR"/>
        </w:rPr>
        <w:t>, c</w:t>
      </w:r>
      <w:r w:rsidR="00DD78B4" w:rsidRPr="00DD78B4">
        <w:rPr>
          <w:lang w:val="fr-FR"/>
        </w:rPr>
        <w:t xml:space="preserve">e qui pourrait expliquer son rôle dans le </w:t>
      </w:r>
      <w:r w:rsidR="00943701">
        <w:rPr>
          <w:lang w:val="fr-FR"/>
        </w:rPr>
        <w:t>DT2</w:t>
      </w:r>
      <w:r w:rsidR="00DD78B4">
        <w:rPr>
          <w:lang w:val="fr-FR"/>
        </w:rPr>
        <w:t xml:space="preserve"> </w:t>
      </w:r>
      <w:sdt>
        <w:sdtPr>
          <w:rPr>
            <w:lang w:val="fr-FR"/>
          </w:rPr>
          <w:id w:val="-841705570"/>
          <w:citation/>
        </w:sdtPr>
        <w:sdtEndPr/>
        <w:sdtContent>
          <w:r w:rsidR="00DD78B4">
            <w:rPr>
              <w:lang w:val="fr-FR"/>
            </w:rPr>
            <w:fldChar w:fldCharType="begin"/>
          </w:r>
          <w:r w:rsidR="00DD78B4">
            <w:rPr>
              <w:lang w:val="fr-FR"/>
            </w:rPr>
            <w:instrText xml:space="preserve"> CITATION DeB15 \l 1036 </w:instrText>
          </w:r>
          <w:r w:rsidR="00DD78B4">
            <w:rPr>
              <w:lang w:val="fr-FR"/>
            </w:rPr>
            <w:fldChar w:fldCharType="separate"/>
          </w:r>
          <w:r w:rsidR="00AE506D" w:rsidRPr="00AE506D">
            <w:rPr>
              <w:noProof/>
              <w:lang w:val="fr-FR"/>
            </w:rPr>
            <w:t>(3)</w:t>
          </w:r>
          <w:r w:rsidR="00DD78B4">
            <w:rPr>
              <w:lang w:val="fr-FR"/>
            </w:rPr>
            <w:fldChar w:fldCharType="end"/>
          </w:r>
        </w:sdtContent>
      </w:sdt>
      <w:r w:rsidR="00DD78B4">
        <w:rPr>
          <w:lang w:val="fr-FR"/>
        </w:rPr>
        <w:t xml:space="preserve"> </w:t>
      </w:r>
      <w:r w:rsidR="0083298D">
        <w:rPr>
          <w:lang w:val="fr-FR"/>
        </w:rPr>
        <w:t xml:space="preserve">L’apport de la mesure de la composition isotopique en Mg par rapport aux concentrations dans le sérum a été démontré par </w:t>
      </w:r>
      <w:proofErr w:type="spellStart"/>
      <w:r w:rsidR="0083298D">
        <w:rPr>
          <w:lang w:val="fr-FR"/>
        </w:rPr>
        <w:t>Grigoryan</w:t>
      </w:r>
      <w:proofErr w:type="spellEnd"/>
      <w:r w:rsidR="0083298D">
        <w:rPr>
          <w:lang w:val="fr-FR"/>
        </w:rPr>
        <w:t xml:space="preserve"> et al. </w:t>
      </w:r>
      <w:proofErr w:type="gramStart"/>
      <w:r w:rsidR="0083298D">
        <w:rPr>
          <w:lang w:val="fr-FR"/>
        </w:rPr>
        <w:t>en</w:t>
      </w:r>
      <w:proofErr w:type="gramEnd"/>
      <w:r w:rsidR="0083298D">
        <w:rPr>
          <w:lang w:val="fr-FR"/>
        </w:rPr>
        <w:t xml:space="preserve"> 2019</w:t>
      </w:r>
      <w:sdt>
        <w:sdtPr>
          <w:rPr>
            <w:lang w:val="fr-FR"/>
          </w:rPr>
          <w:id w:val="-1768689171"/>
          <w:citation/>
        </w:sdtPr>
        <w:sdtEndPr/>
        <w:sdtContent>
          <w:r w:rsidR="0083298D">
            <w:rPr>
              <w:lang w:val="fr-FR"/>
            </w:rPr>
            <w:fldChar w:fldCharType="begin"/>
          </w:r>
          <w:r w:rsidR="0083298D">
            <w:rPr>
              <w:lang w:val="fr-FR"/>
            </w:rPr>
            <w:instrText xml:space="preserve"> CITATION Gri19 \l 1036 </w:instrText>
          </w:r>
          <w:r w:rsidR="0083298D">
            <w:rPr>
              <w:lang w:val="fr-FR"/>
            </w:rPr>
            <w:fldChar w:fldCharType="separate"/>
          </w:r>
          <w:r w:rsidR="00AE506D">
            <w:rPr>
              <w:noProof/>
              <w:lang w:val="fr-FR"/>
            </w:rPr>
            <w:t xml:space="preserve"> </w:t>
          </w:r>
          <w:r w:rsidR="00AE506D" w:rsidRPr="00AE506D">
            <w:rPr>
              <w:noProof/>
              <w:lang w:val="fr-FR"/>
            </w:rPr>
            <w:t>(4)</w:t>
          </w:r>
          <w:r w:rsidR="0083298D">
            <w:rPr>
              <w:lang w:val="fr-FR"/>
            </w:rPr>
            <w:fldChar w:fldCharType="end"/>
          </w:r>
        </w:sdtContent>
      </w:sdt>
      <w:r w:rsidR="0083298D">
        <w:rPr>
          <w:lang w:val="fr-FR"/>
        </w:rPr>
        <w:t xml:space="preserve"> pour discriminer les individus diabétiques des personnes saines</w:t>
      </w:r>
    </w:p>
    <w:p w14:paraId="43413694" w14:textId="77777777" w:rsidR="007A37A1" w:rsidRPr="00253DEC" w:rsidRDefault="00087E6A">
      <w:pPr>
        <w:pStyle w:val="Corpsdetexte"/>
        <w:spacing w:before="156" w:line="259" w:lineRule="auto"/>
        <w:ind w:left="155" w:right="803" w:firstLine="140"/>
        <w:jc w:val="both"/>
        <w:rPr>
          <w:lang w:val="fr-FR"/>
        </w:rPr>
      </w:pPr>
      <w:r w:rsidRPr="00253DEC">
        <w:rPr>
          <w:lang w:val="fr-FR"/>
        </w:rPr>
        <w:t xml:space="preserve">Nous avons </w:t>
      </w:r>
      <w:r w:rsidR="00943701">
        <w:rPr>
          <w:lang w:val="fr-FR"/>
        </w:rPr>
        <w:t>mesur</w:t>
      </w:r>
      <w:r w:rsidRPr="00253DEC">
        <w:rPr>
          <w:lang w:val="fr-FR"/>
        </w:rPr>
        <w:t xml:space="preserve">é la composition isotopique du Mg dans différents organes </w:t>
      </w:r>
      <w:r w:rsidR="00943701" w:rsidRPr="00253DEC">
        <w:rPr>
          <w:lang w:val="fr-FR"/>
        </w:rPr>
        <w:t xml:space="preserve">(i.e. foie, rein, cœur, muscle gastrocnémien) et plasma </w:t>
      </w:r>
      <w:r w:rsidRPr="00253DEC">
        <w:rPr>
          <w:lang w:val="fr-FR"/>
        </w:rPr>
        <w:t xml:space="preserve">de cochons nains </w:t>
      </w:r>
      <w:r w:rsidR="00116B3B">
        <w:rPr>
          <w:lang w:val="fr-FR"/>
        </w:rPr>
        <w:t xml:space="preserve">sains et </w:t>
      </w:r>
      <w:r w:rsidR="00943701">
        <w:rPr>
          <w:lang w:val="fr-FR"/>
        </w:rPr>
        <w:t>atteints de DT2</w:t>
      </w:r>
      <w:r w:rsidR="00116B3B">
        <w:rPr>
          <w:lang w:val="fr-FR"/>
        </w:rPr>
        <w:t>(</w:t>
      </w:r>
      <w:r w:rsidR="00943701">
        <w:rPr>
          <w:lang w:val="fr-FR"/>
        </w:rPr>
        <w:t xml:space="preserve">obèses et </w:t>
      </w:r>
      <w:proofErr w:type="spellStart"/>
      <w:r w:rsidR="00943701">
        <w:rPr>
          <w:lang w:val="fr-FR"/>
        </w:rPr>
        <w:t>insulino</w:t>
      </w:r>
      <w:proofErr w:type="spellEnd"/>
      <w:r w:rsidR="00943701">
        <w:rPr>
          <w:lang w:val="fr-FR"/>
        </w:rPr>
        <w:t>-résistants</w:t>
      </w:r>
      <w:r w:rsidR="00116B3B">
        <w:rPr>
          <w:lang w:val="fr-FR"/>
        </w:rPr>
        <w:t>)</w:t>
      </w:r>
      <w:r w:rsidR="00943701">
        <w:rPr>
          <w:lang w:val="fr-FR"/>
        </w:rPr>
        <w:t xml:space="preserve">, </w:t>
      </w:r>
      <w:r w:rsidRPr="00253DEC">
        <w:rPr>
          <w:lang w:val="fr-FR"/>
        </w:rPr>
        <w:t xml:space="preserve">comme </w:t>
      </w:r>
      <w:r w:rsidR="00943701">
        <w:rPr>
          <w:lang w:val="fr-FR"/>
        </w:rPr>
        <w:t>outil</w:t>
      </w:r>
      <w:r w:rsidRPr="00253DEC">
        <w:rPr>
          <w:lang w:val="fr-FR"/>
        </w:rPr>
        <w:t xml:space="preserve"> alternati</w:t>
      </w:r>
      <w:r w:rsidR="00943701">
        <w:rPr>
          <w:lang w:val="fr-FR"/>
        </w:rPr>
        <w:t>f</w:t>
      </w:r>
      <w:r w:rsidRPr="00253DEC">
        <w:rPr>
          <w:lang w:val="fr-FR"/>
        </w:rPr>
        <w:t xml:space="preserve"> à l</w:t>
      </w:r>
      <w:r w:rsidR="00943701">
        <w:rPr>
          <w:lang w:val="fr-FR"/>
        </w:rPr>
        <w:t xml:space="preserve">’étude </w:t>
      </w:r>
      <w:r w:rsidRPr="00253DEC">
        <w:rPr>
          <w:lang w:val="fr-FR"/>
        </w:rPr>
        <w:t xml:space="preserve">du diabète. Nous utilisons la spectrométrie de masse à </w:t>
      </w:r>
      <w:proofErr w:type="spellStart"/>
      <w:r w:rsidRPr="00253DEC">
        <w:rPr>
          <w:lang w:val="fr-FR"/>
        </w:rPr>
        <w:t>multicollection</w:t>
      </w:r>
      <w:proofErr w:type="spellEnd"/>
      <w:r w:rsidRPr="00253DEC">
        <w:rPr>
          <w:lang w:val="fr-FR"/>
        </w:rPr>
        <w:t xml:space="preserve"> à plasma couplé à induction (MC-ICP-MS), après avoir isolé le Mg à l’aide de </w:t>
      </w:r>
      <w:r w:rsidR="002A1226" w:rsidRPr="00253DEC">
        <w:rPr>
          <w:lang w:val="fr-FR"/>
        </w:rPr>
        <w:t>résines</w:t>
      </w:r>
      <w:r w:rsidRPr="00253DEC">
        <w:rPr>
          <w:lang w:val="fr-FR"/>
        </w:rPr>
        <w:t xml:space="preserve"> échangeuses d’ions : AG1-X8 et AG50W-X12.</w:t>
      </w:r>
    </w:p>
    <w:p w14:paraId="37D79C9D" w14:textId="688C2918" w:rsidR="007A37A1" w:rsidRPr="00253DEC" w:rsidRDefault="00087E6A">
      <w:pPr>
        <w:pStyle w:val="Corpsdetexte"/>
        <w:spacing w:before="160" w:line="259" w:lineRule="auto"/>
        <w:ind w:left="155" w:right="800" w:firstLine="140"/>
        <w:jc w:val="both"/>
        <w:rPr>
          <w:lang w:val="fr-FR"/>
        </w:rPr>
      </w:pPr>
      <w:r w:rsidRPr="00253DEC">
        <w:rPr>
          <w:lang w:val="fr-FR"/>
        </w:rPr>
        <w:t xml:space="preserve">Nous montrerons ici </w:t>
      </w:r>
      <w:r w:rsidR="00943701">
        <w:rPr>
          <w:lang w:val="fr-FR"/>
        </w:rPr>
        <w:t xml:space="preserve">un enrichissement </w:t>
      </w:r>
      <w:r w:rsidRPr="00253DEC">
        <w:rPr>
          <w:lang w:val="fr-FR"/>
        </w:rPr>
        <w:t>en</w:t>
      </w:r>
      <w:r w:rsidR="00943701">
        <w:rPr>
          <w:lang w:val="fr-FR"/>
        </w:rPr>
        <w:t xml:space="preserve"> </w:t>
      </w:r>
      <w:r w:rsidR="00943701" w:rsidRPr="00C133FB">
        <w:rPr>
          <w:sz w:val="24"/>
          <w:szCs w:val="24"/>
          <w:vertAlign w:val="superscript"/>
          <w:lang w:val="fr-FR"/>
        </w:rPr>
        <w:t>2</w:t>
      </w:r>
      <w:r w:rsidR="00C133FB" w:rsidRPr="00C133FB">
        <w:rPr>
          <w:sz w:val="24"/>
          <w:szCs w:val="24"/>
          <w:vertAlign w:val="superscript"/>
          <w:lang w:val="fr-FR"/>
        </w:rPr>
        <w:t>4</w:t>
      </w:r>
      <w:r w:rsidRPr="00253DEC">
        <w:rPr>
          <w:lang w:val="fr-FR"/>
        </w:rPr>
        <w:t xml:space="preserve">Mg dans les </w:t>
      </w:r>
      <w:r w:rsidR="00253DEC" w:rsidRPr="00253DEC">
        <w:rPr>
          <w:lang w:val="fr-FR"/>
        </w:rPr>
        <w:t xml:space="preserve">organes et le </w:t>
      </w:r>
      <w:r w:rsidR="00691839" w:rsidRPr="00253DEC">
        <w:rPr>
          <w:lang w:val="fr-FR"/>
        </w:rPr>
        <w:t xml:space="preserve">plasma des spécimens diabétiques par rapport </w:t>
      </w:r>
      <w:r w:rsidR="00943701">
        <w:rPr>
          <w:lang w:val="fr-FR"/>
        </w:rPr>
        <w:t>à ceux des</w:t>
      </w:r>
      <w:r w:rsidRPr="00253DEC">
        <w:rPr>
          <w:lang w:val="fr-FR"/>
        </w:rPr>
        <w:t xml:space="preserve"> </w:t>
      </w:r>
      <w:r w:rsidR="002A1226" w:rsidRPr="00253DEC">
        <w:rPr>
          <w:lang w:val="fr-FR"/>
        </w:rPr>
        <w:t>contrôles</w:t>
      </w:r>
      <w:r w:rsidRPr="00253DEC">
        <w:rPr>
          <w:lang w:val="fr-FR"/>
        </w:rPr>
        <w:t xml:space="preserve">. Cette variabilité pourrait être liée à la cinétique </w:t>
      </w:r>
      <w:proofErr w:type="spellStart"/>
      <w:r w:rsidRPr="00253DEC">
        <w:rPr>
          <w:lang w:val="fr-FR"/>
        </w:rPr>
        <w:t>transcellulaire</w:t>
      </w:r>
      <w:proofErr w:type="spellEnd"/>
      <w:r w:rsidRPr="00253DEC">
        <w:rPr>
          <w:lang w:val="fr-FR"/>
        </w:rPr>
        <w:t xml:space="preserve"> du Mg, et aux caractéristiques inhérentes des individus ; telles que :1°) </w:t>
      </w:r>
      <w:r w:rsidR="00253DEC" w:rsidRPr="00253DEC">
        <w:rPr>
          <w:lang w:val="fr-FR"/>
        </w:rPr>
        <w:t xml:space="preserve">le contrôle variable </w:t>
      </w:r>
      <w:r w:rsidR="00691839" w:rsidRPr="00253DEC">
        <w:rPr>
          <w:lang w:val="fr-FR"/>
        </w:rPr>
        <w:t>de la glycémie</w:t>
      </w:r>
      <w:r w:rsidRPr="00253DEC">
        <w:rPr>
          <w:lang w:val="fr-FR"/>
        </w:rPr>
        <w:t>, 2°) les différences dans le fractionnement des isotopes du Mg au sein de l'absorption intestinale, 3°) et/ou de l'excrétion rénale, 4°) et/ou dans la distribution différentielle des isotopes du Mg dans les compartiments corporels</w:t>
      </w:r>
      <w:r w:rsidR="00943701">
        <w:rPr>
          <w:lang w:val="fr-FR"/>
        </w:rPr>
        <w:t xml:space="preserve"> entre diabétiques et </w:t>
      </w:r>
      <w:proofErr w:type="spellStart"/>
      <w:r w:rsidR="00943701">
        <w:rPr>
          <w:lang w:val="fr-FR"/>
        </w:rPr>
        <w:t>contôles</w:t>
      </w:r>
      <w:proofErr w:type="spellEnd"/>
      <w:r w:rsidRPr="00253DEC">
        <w:rPr>
          <w:lang w:val="fr-FR"/>
        </w:rPr>
        <w:t xml:space="preserve">. Des travaux supplémentaires sont nécessaires pour identifier le(s) facteur(s) déterminant(s) de la répartition des isotopes du Mg </w:t>
      </w:r>
      <w:r w:rsidR="00691839" w:rsidRPr="00253DEC">
        <w:rPr>
          <w:lang w:val="fr-FR"/>
        </w:rPr>
        <w:t>entre les organes d’un</w:t>
      </w:r>
      <w:r w:rsidRPr="00253DEC">
        <w:rPr>
          <w:spacing w:val="-1"/>
          <w:lang w:val="fr-FR"/>
        </w:rPr>
        <w:t xml:space="preserve"> </w:t>
      </w:r>
      <w:r w:rsidRPr="00253DEC">
        <w:rPr>
          <w:lang w:val="fr-FR"/>
        </w:rPr>
        <w:t>individu.</w:t>
      </w:r>
    </w:p>
    <w:p w14:paraId="65A00C7F" w14:textId="77777777" w:rsidR="007A37A1" w:rsidRPr="00253DEC" w:rsidRDefault="007A37A1">
      <w:pPr>
        <w:pStyle w:val="Corpsdetexte"/>
        <w:rPr>
          <w:sz w:val="24"/>
          <w:lang w:val="fr-FR"/>
        </w:rPr>
      </w:pPr>
    </w:p>
    <w:p w14:paraId="480C5FB1" w14:textId="77777777" w:rsidR="007A37A1" w:rsidRPr="00253DEC" w:rsidRDefault="007A37A1">
      <w:pPr>
        <w:pStyle w:val="Corpsdetexte"/>
        <w:spacing w:before="2"/>
        <w:rPr>
          <w:sz w:val="24"/>
          <w:lang w:val="fr-FR"/>
        </w:rPr>
      </w:pPr>
    </w:p>
    <w:p w14:paraId="1DBFF74C" w14:textId="77777777" w:rsidR="007A37A1" w:rsidRPr="00253DEC" w:rsidRDefault="00087E6A">
      <w:pPr>
        <w:spacing w:before="1"/>
        <w:ind w:left="155"/>
        <w:rPr>
          <w:sz w:val="18"/>
          <w:lang w:val="fr-FR"/>
        </w:rPr>
      </w:pPr>
      <w:r w:rsidRPr="00253DEC">
        <w:rPr>
          <w:b/>
          <w:sz w:val="18"/>
          <w:lang w:val="fr-FR"/>
        </w:rPr>
        <w:t xml:space="preserve">Mots-Clés : </w:t>
      </w:r>
      <w:r w:rsidRPr="00253DEC">
        <w:rPr>
          <w:sz w:val="18"/>
          <w:lang w:val="fr-FR"/>
        </w:rPr>
        <w:t xml:space="preserve">Géochimie, Isotopes stables, Magnésium, </w:t>
      </w:r>
      <w:r w:rsidR="002A1226" w:rsidRPr="00253DEC">
        <w:rPr>
          <w:sz w:val="18"/>
          <w:lang w:val="fr-FR"/>
        </w:rPr>
        <w:t>Médecine</w:t>
      </w:r>
      <w:r w:rsidRPr="00253DEC">
        <w:rPr>
          <w:sz w:val="18"/>
          <w:lang w:val="fr-FR"/>
        </w:rPr>
        <w:t>, Géo-médecine, Biomarqueurs,</w:t>
      </w:r>
    </w:p>
    <w:p w14:paraId="687EEAF6" w14:textId="77777777" w:rsidR="007A37A1" w:rsidRPr="00253DEC" w:rsidRDefault="007A37A1">
      <w:pPr>
        <w:pStyle w:val="Corpsdetexte"/>
        <w:rPr>
          <w:sz w:val="20"/>
          <w:lang w:val="fr-FR"/>
        </w:rPr>
      </w:pPr>
    </w:p>
    <w:sdt>
      <w:sdtPr>
        <w:rPr>
          <w:rFonts w:ascii="Georgia" w:eastAsia="Georgia" w:hAnsi="Georgia" w:cs="Georgia"/>
          <w:b w:val="0"/>
          <w:bCs w:val="0"/>
          <w:color w:val="auto"/>
          <w:sz w:val="22"/>
          <w:szCs w:val="22"/>
          <w:lang w:val="en-US" w:eastAsia="en-US" w:bidi="en-US"/>
        </w:rPr>
        <w:id w:val="2129656678"/>
        <w:docPartObj>
          <w:docPartGallery w:val="Bibliographies"/>
          <w:docPartUnique/>
        </w:docPartObj>
      </w:sdtPr>
      <w:sdtEndPr/>
      <w:sdtContent>
        <w:p w14:paraId="6808BCBA" w14:textId="77777777" w:rsidR="002A1226" w:rsidRPr="00C133FB" w:rsidRDefault="002A1226">
          <w:pPr>
            <w:pStyle w:val="Titre1"/>
            <w:rPr>
              <w:rFonts w:ascii="Georgia" w:hAnsi="Georgia"/>
              <w:sz w:val="18"/>
              <w:szCs w:val="18"/>
              <w:lang w:val="en-US"/>
            </w:rPr>
          </w:pPr>
          <w:proofErr w:type="spellStart"/>
          <w:r w:rsidRPr="00C133FB">
            <w:rPr>
              <w:rFonts w:ascii="Georgia" w:hAnsi="Georgia"/>
              <w:sz w:val="18"/>
              <w:szCs w:val="18"/>
              <w:lang w:val="en-US"/>
            </w:rPr>
            <w:t>Références</w:t>
          </w:r>
          <w:proofErr w:type="spellEnd"/>
        </w:p>
        <w:sdt>
          <w:sdtPr>
            <w:rPr>
              <w:sz w:val="18"/>
              <w:szCs w:val="18"/>
            </w:rPr>
            <w:id w:val="111145805"/>
            <w:bibliography/>
          </w:sdtPr>
          <w:sdtEndPr/>
          <w:sdtContent>
            <w:p w14:paraId="323D11D9" w14:textId="77777777" w:rsidR="00AE506D" w:rsidRPr="00AE506D" w:rsidRDefault="002A1226" w:rsidP="00AE506D">
              <w:pPr>
                <w:pStyle w:val="Bibliographie"/>
                <w:rPr>
                  <w:noProof/>
                  <w:sz w:val="18"/>
                  <w:szCs w:val="18"/>
                </w:rPr>
              </w:pPr>
              <w:r w:rsidRPr="00AE506D">
                <w:rPr>
                  <w:sz w:val="18"/>
                  <w:szCs w:val="18"/>
                </w:rPr>
                <w:fldChar w:fldCharType="begin"/>
              </w:r>
              <w:r w:rsidRPr="00AE506D">
                <w:rPr>
                  <w:sz w:val="18"/>
                  <w:szCs w:val="18"/>
                </w:rPr>
                <w:instrText>BIBLIOGRAPHY</w:instrText>
              </w:r>
              <w:r w:rsidRPr="00AE506D">
                <w:rPr>
                  <w:sz w:val="18"/>
                  <w:szCs w:val="18"/>
                </w:rPr>
                <w:fldChar w:fldCharType="separate"/>
              </w:r>
              <w:r w:rsidR="00AE506D" w:rsidRPr="00AE506D">
                <w:rPr>
                  <w:noProof/>
                  <w:sz w:val="18"/>
                  <w:szCs w:val="18"/>
                </w:rPr>
                <w:t xml:space="preserve">1. </w:t>
              </w:r>
              <w:r w:rsidR="00AE506D" w:rsidRPr="00AE506D">
                <w:rPr>
                  <w:i/>
                  <w:iCs/>
                  <w:noProof/>
                  <w:sz w:val="18"/>
                  <w:szCs w:val="18"/>
                </w:rPr>
                <w:t xml:space="preserve">Hypomagnesaemia in type 2 (non-insulin-dependent) diabetes mellitus is not corrected by improvement of long-term metabolic control. </w:t>
              </w:r>
              <w:r w:rsidR="00AE506D" w:rsidRPr="00AE506D">
                <w:rPr>
                  <w:b/>
                  <w:bCs/>
                  <w:noProof/>
                  <w:sz w:val="18"/>
                  <w:szCs w:val="18"/>
                </w:rPr>
                <w:t>Schnack, C. H., Bauer, I., Pregant, P., Hopmeier, P., &amp; Schernthaner, G.</w:t>
              </w:r>
              <w:r w:rsidR="00AE506D" w:rsidRPr="00AE506D">
                <w:rPr>
                  <w:noProof/>
                  <w:sz w:val="18"/>
                  <w:szCs w:val="18"/>
                </w:rPr>
                <w:t xml:space="preserve"> 1992, Diabetologia, pp. 35(1), 77-79.</w:t>
              </w:r>
            </w:p>
            <w:p w14:paraId="6BE28959" w14:textId="77777777" w:rsidR="00AE506D" w:rsidRPr="00AE506D" w:rsidRDefault="00AE506D" w:rsidP="00AE506D">
              <w:pPr>
                <w:pStyle w:val="Bibliographie"/>
                <w:rPr>
                  <w:noProof/>
                  <w:sz w:val="18"/>
                  <w:szCs w:val="18"/>
                </w:rPr>
              </w:pPr>
              <w:r w:rsidRPr="00AE506D">
                <w:rPr>
                  <w:noProof/>
                  <w:sz w:val="18"/>
                  <w:szCs w:val="18"/>
                </w:rPr>
                <w:t xml:space="preserve">2. </w:t>
              </w:r>
              <w:r w:rsidRPr="00AE506D">
                <w:rPr>
                  <w:i/>
                  <w:iCs/>
                  <w:noProof/>
                  <w:sz w:val="18"/>
                  <w:szCs w:val="18"/>
                </w:rPr>
                <w:t xml:space="preserve">Magnesium status and association with diabetes in the Taiwanese elderly. </w:t>
              </w:r>
              <w:r w:rsidRPr="00AE506D">
                <w:rPr>
                  <w:b/>
                  <w:bCs/>
                  <w:noProof/>
                  <w:sz w:val="18"/>
                  <w:szCs w:val="18"/>
                </w:rPr>
                <w:t>Wang, J. L., Shaw, N. S., Yeh, H. Y., &amp; Kao, M. D.</w:t>
              </w:r>
              <w:r w:rsidRPr="00AE506D">
                <w:rPr>
                  <w:noProof/>
                  <w:sz w:val="18"/>
                  <w:szCs w:val="18"/>
                </w:rPr>
                <w:t xml:space="preserve"> 2005, Asia Pacific journal of clinical nutrition, p. 14(3).</w:t>
              </w:r>
            </w:p>
            <w:p w14:paraId="6CBBFB2A" w14:textId="77777777" w:rsidR="00AE506D" w:rsidRPr="00AE506D" w:rsidRDefault="00AE506D" w:rsidP="00AE506D">
              <w:pPr>
                <w:pStyle w:val="Bibliographie"/>
                <w:rPr>
                  <w:noProof/>
                  <w:sz w:val="18"/>
                  <w:szCs w:val="18"/>
                </w:rPr>
              </w:pPr>
              <w:r w:rsidRPr="00AE506D">
                <w:rPr>
                  <w:noProof/>
                  <w:sz w:val="18"/>
                  <w:szCs w:val="18"/>
                </w:rPr>
                <w:t xml:space="preserve">3. </w:t>
              </w:r>
              <w:r w:rsidRPr="00AE506D">
                <w:rPr>
                  <w:i/>
                  <w:iCs/>
                  <w:noProof/>
                  <w:sz w:val="18"/>
                  <w:szCs w:val="18"/>
                </w:rPr>
                <w:t xml:space="preserve">Magnesium in man: implications for health and disease. </w:t>
              </w:r>
              <w:r w:rsidRPr="00AE506D">
                <w:rPr>
                  <w:b/>
                  <w:bCs/>
                  <w:noProof/>
                  <w:sz w:val="18"/>
                  <w:szCs w:val="18"/>
                </w:rPr>
                <w:t>De Baaij, J. H., Hoenderop, J. G., &amp; Bindels, R. J.</w:t>
              </w:r>
              <w:r w:rsidRPr="00AE506D">
                <w:rPr>
                  <w:noProof/>
                  <w:sz w:val="18"/>
                  <w:szCs w:val="18"/>
                </w:rPr>
                <w:t xml:space="preserve"> 2015, Physiological reviews.</w:t>
              </w:r>
            </w:p>
            <w:p w14:paraId="029F6064" w14:textId="77777777" w:rsidR="00AE506D" w:rsidRPr="00AE506D" w:rsidRDefault="00AE506D" w:rsidP="00AE506D">
              <w:pPr>
                <w:pStyle w:val="Bibliographie"/>
                <w:rPr>
                  <w:noProof/>
                  <w:sz w:val="18"/>
                  <w:szCs w:val="18"/>
                </w:rPr>
              </w:pPr>
              <w:r w:rsidRPr="00AE506D">
                <w:rPr>
                  <w:noProof/>
                  <w:sz w:val="18"/>
                  <w:szCs w:val="18"/>
                </w:rPr>
                <w:t xml:space="preserve">4. </w:t>
              </w:r>
              <w:r w:rsidRPr="00AE506D">
                <w:rPr>
                  <w:i/>
                  <w:iCs/>
                  <w:noProof/>
                  <w:sz w:val="18"/>
                  <w:szCs w:val="18"/>
                </w:rPr>
                <w:t xml:space="preserve">Multi-collector ICP-mass spectrometry reveals changes in the serum Mg isotopic composition in diabetes type I patients. </w:t>
              </w:r>
              <w:r w:rsidRPr="00AE506D">
                <w:rPr>
                  <w:b/>
                  <w:bCs/>
                  <w:noProof/>
                  <w:sz w:val="18"/>
                  <w:szCs w:val="18"/>
                </w:rPr>
                <w:t>Grigoryan, R., Costas-Rodríguez, M., Van Laecke, S., Speeckaert, M., Lapauw, B., &amp; Vanhaecke, F.</w:t>
              </w:r>
              <w:r w:rsidRPr="00AE506D">
                <w:rPr>
                  <w:noProof/>
                  <w:sz w:val="18"/>
                  <w:szCs w:val="18"/>
                </w:rPr>
                <w:t xml:space="preserve"> 2019, Journal of Analytical Atomic Spectrometry, pp. 34(7), 1514-1521.</w:t>
              </w:r>
            </w:p>
            <w:p w14:paraId="37417F9F" w14:textId="77777777" w:rsidR="007A37A1" w:rsidRPr="002A1226" w:rsidRDefault="002A1226" w:rsidP="00AE506D">
              <w:r w:rsidRPr="00AE506D">
                <w:rPr>
                  <w:b/>
                  <w:bCs/>
                  <w:noProof/>
                  <w:sz w:val="18"/>
                  <w:szCs w:val="18"/>
                </w:rPr>
                <w:fldChar w:fldCharType="end"/>
              </w:r>
            </w:p>
          </w:sdtContent>
        </w:sdt>
      </w:sdtContent>
    </w:sdt>
    <w:p w14:paraId="66C9BF71" w14:textId="77777777" w:rsidR="007A37A1" w:rsidRDefault="00120C9A">
      <w:pPr>
        <w:pStyle w:val="Corpsdetexte"/>
        <w:spacing w:before="9"/>
        <w:rPr>
          <w:sz w:val="18"/>
        </w:rPr>
      </w:pPr>
      <w:r>
        <w:pict w14:anchorId="7531DC9B">
          <v:shape id="_x0000_s1026" type="#_x0000_t202" alt="" style="position:absolute;margin-left:70.85pt;margin-top:13.05pt;width:489pt;height:62.25pt;z-index:-251657728;mso-wrap-style:square;mso-wrap-edited:f;mso-width-percent:0;mso-height-percent:0;mso-wrap-distance-left:0;mso-wrap-distance-right:0;mso-position-horizontal-relative:page;mso-width-percent:0;mso-height-percent:0;v-text-anchor:top" fillcolor="#dae2f3">
            <v:textbox inset="0,0,0,0">
              <w:txbxContent>
                <w:p w14:paraId="4282052C" w14:textId="77777777" w:rsidR="007A37A1" w:rsidRDefault="007A37A1">
                  <w:pPr>
                    <w:pStyle w:val="Corpsdetexte"/>
                  </w:pPr>
                </w:p>
                <w:p w14:paraId="110D30B2" w14:textId="77777777" w:rsidR="007A37A1" w:rsidRPr="00253DEC" w:rsidRDefault="00087E6A">
                  <w:pPr>
                    <w:spacing w:before="148"/>
                    <w:ind w:left="311"/>
                    <w:rPr>
                      <w:rFonts w:ascii="Arial" w:hAnsi="Arial"/>
                      <w:b/>
                      <w:lang w:val="fr-FR"/>
                    </w:rPr>
                  </w:pPr>
                  <w:r w:rsidRPr="00253DEC">
                    <w:rPr>
                      <w:rFonts w:ascii="Arial" w:hAnsi="Arial"/>
                      <w:b/>
                      <w:w w:val="95"/>
                      <w:lang w:val="fr-FR"/>
                    </w:rPr>
                    <w:t>Merci</w:t>
                  </w:r>
                  <w:r w:rsidRPr="00253DEC">
                    <w:rPr>
                      <w:rFonts w:ascii="Arial" w:hAnsi="Arial"/>
                      <w:b/>
                      <w:spacing w:val="-36"/>
                      <w:w w:val="95"/>
                      <w:lang w:val="fr-FR"/>
                    </w:rPr>
                    <w:t xml:space="preserve"> </w:t>
                  </w:r>
                  <w:r w:rsidRPr="00253DEC">
                    <w:rPr>
                      <w:rFonts w:ascii="Arial" w:hAnsi="Arial"/>
                      <w:b/>
                      <w:w w:val="95"/>
                      <w:lang w:val="fr-FR"/>
                    </w:rPr>
                    <w:t>de</w:t>
                  </w:r>
                  <w:r w:rsidRPr="00253DEC">
                    <w:rPr>
                      <w:rFonts w:ascii="Arial" w:hAnsi="Arial"/>
                      <w:b/>
                      <w:spacing w:val="-37"/>
                      <w:w w:val="95"/>
                      <w:lang w:val="fr-FR"/>
                    </w:rPr>
                    <w:t xml:space="preserve"> </w:t>
                  </w:r>
                  <w:r w:rsidRPr="00253DEC">
                    <w:rPr>
                      <w:rFonts w:ascii="Arial" w:hAnsi="Arial"/>
                      <w:b/>
                      <w:w w:val="95"/>
                      <w:lang w:val="fr-FR"/>
                    </w:rPr>
                    <w:t>ne</w:t>
                  </w:r>
                  <w:r w:rsidRPr="00253DEC">
                    <w:rPr>
                      <w:rFonts w:ascii="Arial" w:hAnsi="Arial"/>
                      <w:b/>
                      <w:spacing w:val="-37"/>
                      <w:w w:val="95"/>
                      <w:lang w:val="fr-FR"/>
                    </w:rPr>
                    <w:t xml:space="preserve"> </w:t>
                  </w:r>
                  <w:r w:rsidRPr="00253DEC">
                    <w:rPr>
                      <w:rFonts w:ascii="Arial" w:hAnsi="Arial"/>
                      <w:b/>
                      <w:w w:val="95"/>
                      <w:lang w:val="fr-FR"/>
                    </w:rPr>
                    <w:t>rien</w:t>
                  </w:r>
                  <w:r w:rsidRPr="00253DEC">
                    <w:rPr>
                      <w:rFonts w:ascii="Arial" w:hAnsi="Arial"/>
                      <w:b/>
                      <w:spacing w:val="-34"/>
                      <w:w w:val="95"/>
                      <w:lang w:val="fr-FR"/>
                    </w:rPr>
                    <w:t xml:space="preserve"> </w:t>
                  </w:r>
                  <w:r w:rsidRPr="00253DEC">
                    <w:rPr>
                      <w:rFonts w:ascii="Arial" w:hAnsi="Arial"/>
                      <w:b/>
                      <w:w w:val="95"/>
                      <w:lang w:val="fr-FR"/>
                    </w:rPr>
                    <w:t>inscrire</w:t>
                  </w:r>
                  <w:r w:rsidRPr="00253DEC">
                    <w:rPr>
                      <w:rFonts w:ascii="Arial" w:hAnsi="Arial"/>
                      <w:b/>
                      <w:spacing w:val="-37"/>
                      <w:w w:val="95"/>
                      <w:lang w:val="fr-FR"/>
                    </w:rPr>
                    <w:t xml:space="preserve"> </w:t>
                  </w:r>
                  <w:r w:rsidRPr="00253DEC">
                    <w:rPr>
                      <w:rFonts w:ascii="Arial" w:hAnsi="Arial"/>
                      <w:b/>
                      <w:w w:val="95"/>
                      <w:lang w:val="fr-FR"/>
                    </w:rPr>
                    <w:t>dans</w:t>
                  </w:r>
                  <w:r w:rsidRPr="00253DEC">
                    <w:rPr>
                      <w:rFonts w:ascii="Arial" w:hAnsi="Arial"/>
                      <w:b/>
                      <w:spacing w:val="-35"/>
                      <w:w w:val="95"/>
                      <w:lang w:val="fr-FR"/>
                    </w:rPr>
                    <w:t xml:space="preserve"> </w:t>
                  </w:r>
                  <w:r w:rsidRPr="00253DEC">
                    <w:rPr>
                      <w:rFonts w:ascii="Arial" w:hAnsi="Arial"/>
                      <w:b/>
                      <w:w w:val="95"/>
                      <w:lang w:val="fr-FR"/>
                    </w:rPr>
                    <w:t>cette</w:t>
                  </w:r>
                  <w:r w:rsidRPr="00253DEC">
                    <w:rPr>
                      <w:rFonts w:ascii="Arial" w:hAnsi="Arial"/>
                      <w:b/>
                      <w:spacing w:val="-37"/>
                      <w:w w:val="95"/>
                      <w:lang w:val="fr-FR"/>
                    </w:rPr>
                    <w:t xml:space="preserve"> </w:t>
                  </w:r>
                  <w:r w:rsidRPr="00253DEC">
                    <w:rPr>
                      <w:rFonts w:ascii="Arial" w:hAnsi="Arial"/>
                      <w:b/>
                      <w:w w:val="95"/>
                      <w:lang w:val="fr-FR"/>
                    </w:rPr>
                    <w:t>zone</w:t>
                  </w:r>
                  <w:r w:rsidRPr="00253DEC">
                    <w:rPr>
                      <w:rFonts w:ascii="Arial" w:hAnsi="Arial"/>
                      <w:b/>
                      <w:spacing w:val="-36"/>
                      <w:w w:val="95"/>
                      <w:lang w:val="fr-FR"/>
                    </w:rPr>
                    <w:t xml:space="preserve"> </w:t>
                  </w:r>
                  <w:r w:rsidRPr="00253DEC">
                    <w:rPr>
                      <w:rFonts w:ascii="Arial" w:hAnsi="Arial"/>
                      <w:b/>
                      <w:w w:val="95"/>
                      <w:lang w:val="fr-FR"/>
                    </w:rPr>
                    <w:t>et</w:t>
                  </w:r>
                  <w:r w:rsidRPr="00253DEC">
                    <w:rPr>
                      <w:rFonts w:ascii="Arial" w:hAnsi="Arial"/>
                      <w:b/>
                      <w:spacing w:val="-37"/>
                      <w:w w:val="95"/>
                      <w:lang w:val="fr-FR"/>
                    </w:rPr>
                    <w:t xml:space="preserve"> </w:t>
                  </w:r>
                  <w:r w:rsidRPr="00253DEC">
                    <w:rPr>
                      <w:rFonts w:ascii="Arial" w:hAnsi="Arial"/>
                      <w:b/>
                      <w:w w:val="95"/>
                      <w:lang w:val="fr-FR"/>
                    </w:rPr>
                    <w:t>ne</w:t>
                  </w:r>
                  <w:r w:rsidRPr="00253DEC">
                    <w:rPr>
                      <w:rFonts w:ascii="Arial" w:hAnsi="Arial"/>
                      <w:b/>
                      <w:spacing w:val="-37"/>
                      <w:w w:val="95"/>
                      <w:lang w:val="fr-FR"/>
                    </w:rPr>
                    <w:t xml:space="preserve"> </w:t>
                  </w:r>
                  <w:r w:rsidRPr="00253DEC">
                    <w:rPr>
                      <w:rFonts w:ascii="Arial" w:hAnsi="Arial"/>
                      <w:b/>
                      <w:w w:val="95"/>
                      <w:lang w:val="fr-FR"/>
                    </w:rPr>
                    <w:t>pas</w:t>
                  </w:r>
                  <w:r w:rsidRPr="00253DEC">
                    <w:rPr>
                      <w:rFonts w:ascii="Arial" w:hAnsi="Arial"/>
                      <w:b/>
                      <w:spacing w:val="-35"/>
                      <w:w w:val="95"/>
                      <w:lang w:val="fr-FR"/>
                    </w:rPr>
                    <w:t xml:space="preserve"> </w:t>
                  </w:r>
                  <w:r w:rsidRPr="00253DEC">
                    <w:rPr>
                      <w:rFonts w:ascii="Arial" w:hAnsi="Arial"/>
                      <w:b/>
                      <w:w w:val="95"/>
                      <w:lang w:val="fr-FR"/>
                    </w:rPr>
                    <w:t>modifier</w:t>
                  </w:r>
                  <w:r w:rsidRPr="00253DEC">
                    <w:rPr>
                      <w:rFonts w:ascii="Arial" w:hAnsi="Arial"/>
                      <w:b/>
                      <w:spacing w:val="-36"/>
                      <w:w w:val="95"/>
                      <w:lang w:val="fr-FR"/>
                    </w:rPr>
                    <w:t xml:space="preserve"> </w:t>
                  </w:r>
                  <w:r w:rsidRPr="00253DEC">
                    <w:rPr>
                      <w:rFonts w:ascii="Arial" w:hAnsi="Arial"/>
                      <w:b/>
                      <w:w w:val="95"/>
                      <w:lang w:val="fr-FR"/>
                    </w:rPr>
                    <w:t>les</w:t>
                  </w:r>
                  <w:r w:rsidRPr="00253DEC">
                    <w:rPr>
                      <w:rFonts w:ascii="Arial" w:hAnsi="Arial"/>
                      <w:b/>
                      <w:spacing w:val="-35"/>
                      <w:w w:val="95"/>
                      <w:lang w:val="fr-FR"/>
                    </w:rPr>
                    <w:t xml:space="preserve"> </w:t>
                  </w:r>
                  <w:r w:rsidRPr="00253DEC">
                    <w:rPr>
                      <w:rFonts w:ascii="Arial" w:hAnsi="Arial"/>
                      <w:b/>
                      <w:w w:val="95"/>
                      <w:lang w:val="fr-FR"/>
                    </w:rPr>
                    <w:t>marges</w:t>
                  </w:r>
                  <w:r w:rsidRPr="00253DEC">
                    <w:rPr>
                      <w:rFonts w:ascii="Arial" w:hAnsi="Arial"/>
                      <w:b/>
                      <w:spacing w:val="-37"/>
                      <w:w w:val="95"/>
                      <w:lang w:val="fr-FR"/>
                    </w:rPr>
                    <w:t xml:space="preserve"> </w:t>
                  </w:r>
                  <w:r w:rsidRPr="00253DEC">
                    <w:rPr>
                      <w:rFonts w:ascii="Arial" w:hAnsi="Arial"/>
                      <w:b/>
                      <w:w w:val="95"/>
                      <w:lang w:val="fr-FR"/>
                    </w:rPr>
                    <w:t>des</w:t>
                  </w:r>
                  <w:r w:rsidRPr="00253DEC">
                    <w:rPr>
                      <w:rFonts w:ascii="Arial" w:hAnsi="Arial"/>
                      <w:b/>
                      <w:spacing w:val="-38"/>
                      <w:w w:val="95"/>
                      <w:lang w:val="fr-FR"/>
                    </w:rPr>
                    <w:t xml:space="preserve"> </w:t>
                  </w:r>
                  <w:r w:rsidRPr="00253DEC">
                    <w:rPr>
                      <w:rFonts w:ascii="Arial" w:hAnsi="Arial"/>
                      <w:b/>
                      <w:w w:val="95"/>
                      <w:lang w:val="fr-FR"/>
                    </w:rPr>
                    <w:t>pieds</w:t>
                  </w:r>
                  <w:r w:rsidRPr="00253DEC">
                    <w:rPr>
                      <w:rFonts w:ascii="Arial" w:hAnsi="Arial"/>
                      <w:b/>
                      <w:spacing w:val="-37"/>
                      <w:w w:val="95"/>
                      <w:lang w:val="fr-FR"/>
                    </w:rPr>
                    <w:t xml:space="preserve"> </w:t>
                  </w:r>
                  <w:r w:rsidRPr="00253DEC">
                    <w:rPr>
                      <w:rFonts w:ascii="Arial" w:hAnsi="Arial"/>
                      <w:b/>
                      <w:w w:val="95"/>
                      <w:lang w:val="fr-FR"/>
                    </w:rPr>
                    <w:t>de</w:t>
                  </w:r>
                  <w:r w:rsidRPr="00253DEC">
                    <w:rPr>
                      <w:rFonts w:ascii="Arial" w:hAnsi="Arial"/>
                      <w:b/>
                      <w:spacing w:val="-37"/>
                      <w:w w:val="95"/>
                      <w:lang w:val="fr-FR"/>
                    </w:rPr>
                    <w:t xml:space="preserve"> </w:t>
                  </w:r>
                  <w:r w:rsidRPr="00253DEC">
                    <w:rPr>
                      <w:rFonts w:ascii="Arial" w:hAnsi="Arial"/>
                      <w:b/>
                      <w:w w:val="95"/>
                      <w:lang w:val="fr-FR"/>
                    </w:rPr>
                    <w:t>page</w:t>
                  </w:r>
                  <w:r w:rsidRPr="00253DEC">
                    <w:rPr>
                      <w:rFonts w:ascii="Arial" w:hAnsi="Arial"/>
                      <w:b/>
                      <w:spacing w:val="-37"/>
                      <w:w w:val="95"/>
                      <w:lang w:val="fr-FR"/>
                    </w:rPr>
                    <w:t xml:space="preserve"> </w:t>
                  </w:r>
                  <w:r w:rsidRPr="00253DEC">
                    <w:rPr>
                      <w:rFonts w:ascii="Arial" w:hAnsi="Arial"/>
                      <w:b/>
                      <w:w w:val="95"/>
                      <w:lang w:val="fr-FR"/>
                    </w:rPr>
                    <w:t>et</w:t>
                  </w:r>
                  <w:r w:rsidRPr="00253DEC">
                    <w:rPr>
                      <w:rFonts w:ascii="Arial" w:hAnsi="Arial"/>
                      <w:b/>
                      <w:spacing w:val="-37"/>
                      <w:w w:val="95"/>
                      <w:lang w:val="fr-FR"/>
                    </w:rPr>
                    <w:t xml:space="preserve"> </w:t>
                  </w:r>
                  <w:r w:rsidRPr="00253DEC">
                    <w:rPr>
                      <w:rFonts w:ascii="Arial" w:hAnsi="Arial"/>
                      <w:b/>
                      <w:w w:val="95"/>
                      <w:lang w:val="fr-FR"/>
                    </w:rPr>
                    <w:t>entêtes.</w:t>
                  </w:r>
                </w:p>
              </w:txbxContent>
            </v:textbox>
            <w10:wrap type="topAndBottom" anchorx="page"/>
          </v:shape>
        </w:pict>
      </w:r>
    </w:p>
    <w:sectPr w:rsidR="007A37A1">
      <w:type w:val="continuous"/>
      <w:pgSz w:w="11910" w:h="16840"/>
      <w:pgMar w:top="260" w:right="60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A37A1"/>
    <w:rsid w:val="00087E6A"/>
    <w:rsid w:val="00116B3B"/>
    <w:rsid w:val="00120C9A"/>
    <w:rsid w:val="00253DEC"/>
    <w:rsid w:val="002A1226"/>
    <w:rsid w:val="005815B5"/>
    <w:rsid w:val="00691839"/>
    <w:rsid w:val="007A37A1"/>
    <w:rsid w:val="0083298D"/>
    <w:rsid w:val="00943701"/>
    <w:rsid w:val="00A95C74"/>
    <w:rsid w:val="00AE506D"/>
    <w:rsid w:val="00C133FB"/>
    <w:rsid w:val="00DD78B4"/>
    <w:rsid w:val="00FF44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DF2AAA"/>
  <w15:docId w15:val="{B048185F-9795-074D-9B23-B15EFD31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bidi="en-US"/>
    </w:rPr>
  </w:style>
  <w:style w:type="paragraph" w:styleId="Titre1">
    <w:name w:val="heading 1"/>
    <w:basedOn w:val="Normal"/>
    <w:next w:val="Normal"/>
    <w:link w:val="Titre1Car"/>
    <w:uiPriority w:val="9"/>
    <w:qFormat/>
    <w:rsid w:val="00DD78B4"/>
    <w:pPr>
      <w:keepNext/>
      <w:keepLines/>
      <w:widowControl/>
      <w:autoSpaceDE/>
      <w:autoSpaceDN/>
      <w:spacing w:before="480" w:line="276" w:lineRule="auto"/>
      <w:outlineLvl w:val="0"/>
    </w:pPr>
    <w:rPr>
      <w:rFonts w:asciiTheme="majorHAnsi" w:eastAsiaTheme="majorEastAsia" w:hAnsiTheme="majorHAnsi" w:cstheme="majorBidi"/>
      <w:b/>
      <w:bCs/>
      <w:color w:val="365F91" w:themeColor="accent1" w:themeShade="BF"/>
      <w:sz w:val="28"/>
      <w:szCs w:val="28"/>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Titre1Car">
    <w:name w:val="Titre 1 Car"/>
    <w:basedOn w:val="Policepardfaut"/>
    <w:link w:val="Titre1"/>
    <w:uiPriority w:val="9"/>
    <w:rsid w:val="00DD78B4"/>
    <w:rPr>
      <w:rFonts w:asciiTheme="majorHAnsi" w:eastAsiaTheme="majorEastAsia" w:hAnsiTheme="majorHAnsi" w:cstheme="majorBidi"/>
      <w:b/>
      <w:bCs/>
      <w:color w:val="365F91" w:themeColor="accent1" w:themeShade="BF"/>
      <w:sz w:val="28"/>
      <w:szCs w:val="28"/>
      <w:lang w:val="fr-FR" w:eastAsia="fr-FR"/>
    </w:rPr>
  </w:style>
  <w:style w:type="paragraph" w:styleId="Bibliographie">
    <w:name w:val="Bibliography"/>
    <w:basedOn w:val="Normal"/>
    <w:next w:val="Normal"/>
    <w:uiPriority w:val="37"/>
    <w:unhideWhenUsed/>
    <w:rsid w:val="00DD7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35865">
      <w:bodyDiv w:val="1"/>
      <w:marLeft w:val="0"/>
      <w:marRight w:val="0"/>
      <w:marTop w:val="0"/>
      <w:marBottom w:val="0"/>
      <w:divBdr>
        <w:top w:val="none" w:sz="0" w:space="0" w:color="auto"/>
        <w:left w:val="none" w:sz="0" w:space="0" w:color="auto"/>
        <w:bottom w:val="none" w:sz="0" w:space="0" w:color="auto"/>
        <w:right w:val="none" w:sz="0" w:space="0" w:color="auto"/>
      </w:divBdr>
    </w:div>
    <w:div w:id="108355578">
      <w:bodyDiv w:val="1"/>
      <w:marLeft w:val="0"/>
      <w:marRight w:val="0"/>
      <w:marTop w:val="0"/>
      <w:marBottom w:val="0"/>
      <w:divBdr>
        <w:top w:val="none" w:sz="0" w:space="0" w:color="auto"/>
        <w:left w:val="none" w:sz="0" w:space="0" w:color="auto"/>
        <w:bottom w:val="none" w:sz="0" w:space="0" w:color="auto"/>
        <w:right w:val="none" w:sz="0" w:space="0" w:color="auto"/>
      </w:divBdr>
    </w:div>
    <w:div w:id="114297218">
      <w:bodyDiv w:val="1"/>
      <w:marLeft w:val="0"/>
      <w:marRight w:val="0"/>
      <w:marTop w:val="0"/>
      <w:marBottom w:val="0"/>
      <w:divBdr>
        <w:top w:val="none" w:sz="0" w:space="0" w:color="auto"/>
        <w:left w:val="none" w:sz="0" w:space="0" w:color="auto"/>
        <w:bottom w:val="none" w:sz="0" w:space="0" w:color="auto"/>
        <w:right w:val="none" w:sz="0" w:space="0" w:color="auto"/>
      </w:divBdr>
    </w:div>
    <w:div w:id="276453147">
      <w:bodyDiv w:val="1"/>
      <w:marLeft w:val="0"/>
      <w:marRight w:val="0"/>
      <w:marTop w:val="0"/>
      <w:marBottom w:val="0"/>
      <w:divBdr>
        <w:top w:val="none" w:sz="0" w:space="0" w:color="auto"/>
        <w:left w:val="none" w:sz="0" w:space="0" w:color="auto"/>
        <w:bottom w:val="none" w:sz="0" w:space="0" w:color="auto"/>
        <w:right w:val="none" w:sz="0" w:space="0" w:color="auto"/>
      </w:divBdr>
    </w:div>
    <w:div w:id="296451859">
      <w:bodyDiv w:val="1"/>
      <w:marLeft w:val="0"/>
      <w:marRight w:val="0"/>
      <w:marTop w:val="0"/>
      <w:marBottom w:val="0"/>
      <w:divBdr>
        <w:top w:val="none" w:sz="0" w:space="0" w:color="auto"/>
        <w:left w:val="none" w:sz="0" w:space="0" w:color="auto"/>
        <w:bottom w:val="none" w:sz="0" w:space="0" w:color="auto"/>
        <w:right w:val="none" w:sz="0" w:space="0" w:color="auto"/>
      </w:divBdr>
    </w:div>
    <w:div w:id="322204170">
      <w:bodyDiv w:val="1"/>
      <w:marLeft w:val="0"/>
      <w:marRight w:val="0"/>
      <w:marTop w:val="0"/>
      <w:marBottom w:val="0"/>
      <w:divBdr>
        <w:top w:val="none" w:sz="0" w:space="0" w:color="auto"/>
        <w:left w:val="none" w:sz="0" w:space="0" w:color="auto"/>
        <w:bottom w:val="none" w:sz="0" w:space="0" w:color="auto"/>
        <w:right w:val="none" w:sz="0" w:space="0" w:color="auto"/>
      </w:divBdr>
    </w:div>
    <w:div w:id="355498448">
      <w:bodyDiv w:val="1"/>
      <w:marLeft w:val="0"/>
      <w:marRight w:val="0"/>
      <w:marTop w:val="0"/>
      <w:marBottom w:val="0"/>
      <w:divBdr>
        <w:top w:val="none" w:sz="0" w:space="0" w:color="auto"/>
        <w:left w:val="none" w:sz="0" w:space="0" w:color="auto"/>
        <w:bottom w:val="none" w:sz="0" w:space="0" w:color="auto"/>
        <w:right w:val="none" w:sz="0" w:space="0" w:color="auto"/>
      </w:divBdr>
    </w:div>
    <w:div w:id="383481734">
      <w:bodyDiv w:val="1"/>
      <w:marLeft w:val="0"/>
      <w:marRight w:val="0"/>
      <w:marTop w:val="0"/>
      <w:marBottom w:val="0"/>
      <w:divBdr>
        <w:top w:val="none" w:sz="0" w:space="0" w:color="auto"/>
        <w:left w:val="none" w:sz="0" w:space="0" w:color="auto"/>
        <w:bottom w:val="none" w:sz="0" w:space="0" w:color="auto"/>
        <w:right w:val="none" w:sz="0" w:space="0" w:color="auto"/>
      </w:divBdr>
    </w:div>
    <w:div w:id="413817749">
      <w:bodyDiv w:val="1"/>
      <w:marLeft w:val="0"/>
      <w:marRight w:val="0"/>
      <w:marTop w:val="0"/>
      <w:marBottom w:val="0"/>
      <w:divBdr>
        <w:top w:val="none" w:sz="0" w:space="0" w:color="auto"/>
        <w:left w:val="none" w:sz="0" w:space="0" w:color="auto"/>
        <w:bottom w:val="none" w:sz="0" w:space="0" w:color="auto"/>
        <w:right w:val="none" w:sz="0" w:space="0" w:color="auto"/>
      </w:divBdr>
    </w:div>
    <w:div w:id="450976234">
      <w:bodyDiv w:val="1"/>
      <w:marLeft w:val="0"/>
      <w:marRight w:val="0"/>
      <w:marTop w:val="0"/>
      <w:marBottom w:val="0"/>
      <w:divBdr>
        <w:top w:val="none" w:sz="0" w:space="0" w:color="auto"/>
        <w:left w:val="none" w:sz="0" w:space="0" w:color="auto"/>
        <w:bottom w:val="none" w:sz="0" w:space="0" w:color="auto"/>
        <w:right w:val="none" w:sz="0" w:space="0" w:color="auto"/>
      </w:divBdr>
    </w:div>
    <w:div w:id="546719341">
      <w:bodyDiv w:val="1"/>
      <w:marLeft w:val="0"/>
      <w:marRight w:val="0"/>
      <w:marTop w:val="0"/>
      <w:marBottom w:val="0"/>
      <w:divBdr>
        <w:top w:val="none" w:sz="0" w:space="0" w:color="auto"/>
        <w:left w:val="none" w:sz="0" w:space="0" w:color="auto"/>
        <w:bottom w:val="none" w:sz="0" w:space="0" w:color="auto"/>
        <w:right w:val="none" w:sz="0" w:space="0" w:color="auto"/>
      </w:divBdr>
    </w:div>
    <w:div w:id="550076316">
      <w:bodyDiv w:val="1"/>
      <w:marLeft w:val="0"/>
      <w:marRight w:val="0"/>
      <w:marTop w:val="0"/>
      <w:marBottom w:val="0"/>
      <w:divBdr>
        <w:top w:val="none" w:sz="0" w:space="0" w:color="auto"/>
        <w:left w:val="none" w:sz="0" w:space="0" w:color="auto"/>
        <w:bottom w:val="none" w:sz="0" w:space="0" w:color="auto"/>
        <w:right w:val="none" w:sz="0" w:space="0" w:color="auto"/>
      </w:divBdr>
    </w:div>
    <w:div w:id="747308847">
      <w:bodyDiv w:val="1"/>
      <w:marLeft w:val="0"/>
      <w:marRight w:val="0"/>
      <w:marTop w:val="0"/>
      <w:marBottom w:val="0"/>
      <w:divBdr>
        <w:top w:val="none" w:sz="0" w:space="0" w:color="auto"/>
        <w:left w:val="none" w:sz="0" w:space="0" w:color="auto"/>
        <w:bottom w:val="none" w:sz="0" w:space="0" w:color="auto"/>
        <w:right w:val="none" w:sz="0" w:space="0" w:color="auto"/>
      </w:divBdr>
    </w:div>
    <w:div w:id="795292603">
      <w:bodyDiv w:val="1"/>
      <w:marLeft w:val="0"/>
      <w:marRight w:val="0"/>
      <w:marTop w:val="0"/>
      <w:marBottom w:val="0"/>
      <w:divBdr>
        <w:top w:val="none" w:sz="0" w:space="0" w:color="auto"/>
        <w:left w:val="none" w:sz="0" w:space="0" w:color="auto"/>
        <w:bottom w:val="none" w:sz="0" w:space="0" w:color="auto"/>
        <w:right w:val="none" w:sz="0" w:space="0" w:color="auto"/>
      </w:divBdr>
    </w:div>
    <w:div w:id="822743336">
      <w:bodyDiv w:val="1"/>
      <w:marLeft w:val="0"/>
      <w:marRight w:val="0"/>
      <w:marTop w:val="0"/>
      <w:marBottom w:val="0"/>
      <w:divBdr>
        <w:top w:val="none" w:sz="0" w:space="0" w:color="auto"/>
        <w:left w:val="none" w:sz="0" w:space="0" w:color="auto"/>
        <w:bottom w:val="none" w:sz="0" w:space="0" w:color="auto"/>
        <w:right w:val="none" w:sz="0" w:space="0" w:color="auto"/>
      </w:divBdr>
    </w:div>
    <w:div w:id="824398015">
      <w:bodyDiv w:val="1"/>
      <w:marLeft w:val="0"/>
      <w:marRight w:val="0"/>
      <w:marTop w:val="0"/>
      <w:marBottom w:val="0"/>
      <w:divBdr>
        <w:top w:val="none" w:sz="0" w:space="0" w:color="auto"/>
        <w:left w:val="none" w:sz="0" w:space="0" w:color="auto"/>
        <w:bottom w:val="none" w:sz="0" w:space="0" w:color="auto"/>
        <w:right w:val="none" w:sz="0" w:space="0" w:color="auto"/>
      </w:divBdr>
    </w:div>
    <w:div w:id="849833827">
      <w:bodyDiv w:val="1"/>
      <w:marLeft w:val="0"/>
      <w:marRight w:val="0"/>
      <w:marTop w:val="0"/>
      <w:marBottom w:val="0"/>
      <w:divBdr>
        <w:top w:val="none" w:sz="0" w:space="0" w:color="auto"/>
        <w:left w:val="none" w:sz="0" w:space="0" w:color="auto"/>
        <w:bottom w:val="none" w:sz="0" w:space="0" w:color="auto"/>
        <w:right w:val="none" w:sz="0" w:space="0" w:color="auto"/>
      </w:divBdr>
    </w:div>
    <w:div w:id="873812792">
      <w:bodyDiv w:val="1"/>
      <w:marLeft w:val="0"/>
      <w:marRight w:val="0"/>
      <w:marTop w:val="0"/>
      <w:marBottom w:val="0"/>
      <w:divBdr>
        <w:top w:val="none" w:sz="0" w:space="0" w:color="auto"/>
        <w:left w:val="none" w:sz="0" w:space="0" w:color="auto"/>
        <w:bottom w:val="none" w:sz="0" w:space="0" w:color="auto"/>
        <w:right w:val="none" w:sz="0" w:space="0" w:color="auto"/>
      </w:divBdr>
    </w:div>
    <w:div w:id="903642034">
      <w:bodyDiv w:val="1"/>
      <w:marLeft w:val="0"/>
      <w:marRight w:val="0"/>
      <w:marTop w:val="0"/>
      <w:marBottom w:val="0"/>
      <w:divBdr>
        <w:top w:val="none" w:sz="0" w:space="0" w:color="auto"/>
        <w:left w:val="none" w:sz="0" w:space="0" w:color="auto"/>
        <w:bottom w:val="none" w:sz="0" w:space="0" w:color="auto"/>
        <w:right w:val="none" w:sz="0" w:space="0" w:color="auto"/>
      </w:divBdr>
    </w:div>
    <w:div w:id="957182572">
      <w:bodyDiv w:val="1"/>
      <w:marLeft w:val="0"/>
      <w:marRight w:val="0"/>
      <w:marTop w:val="0"/>
      <w:marBottom w:val="0"/>
      <w:divBdr>
        <w:top w:val="none" w:sz="0" w:space="0" w:color="auto"/>
        <w:left w:val="none" w:sz="0" w:space="0" w:color="auto"/>
        <w:bottom w:val="none" w:sz="0" w:space="0" w:color="auto"/>
        <w:right w:val="none" w:sz="0" w:space="0" w:color="auto"/>
      </w:divBdr>
    </w:div>
    <w:div w:id="981933766">
      <w:bodyDiv w:val="1"/>
      <w:marLeft w:val="0"/>
      <w:marRight w:val="0"/>
      <w:marTop w:val="0"/>
      <w:marBottom w:val="0"/>
      <w:divBdr>
        <w:top w:val="none" w:sz="0" w:space="0" w:color="auto"/>
        <w:left w:val="none" w:sz="0" w:space="0" w:color="auto"/>
        <w:bottom w:val="none" w:sz="0" w:space="0" w:color="auto"/>
        <w:right w:val="none" w:sz="0" w:space="0" w:color="auto"/>
      </w:divBdr>
    </w:div>
    <w:div w:id="1012337788">
      <w:bodyDiv w:val="1"/>
      <w:marLeft w:val="0"/>
      <w:marRight w:val="0"/>
      <w:marTop w:val="0"/>
      <w:marBottom w:val="0"/>
      <w:divBdr>
        <w:top w:val="none" w:sz="0" w:space="0" w:color="auto"/>
        <w:left w:val="none" w:sz="0" w:space="0" w:color="auto"/>
        <w:bottom w:val="none" w:sz="0" w:space="0" w:color="auto"/>
        <w:right w:val="none" w:sz="0" w:space="0" w:color="auto"/>
      </w:divBdr>
    </w:div>
    <w:div w:id="1037584261">
      <w:bodyDiv w:val="1"/>
      <w:marLeft w:val="0"/>
      <w:marRight w:val="0"/>
      <w:marTop w:val="0"/>
      <w:marBottom w:val="0"/>
      <w:divBdr>
        <w:top w:val="none" w:sz="0" w:space="0" w:color="auto"/>
        <w:left w:val="none" w:sz="0" w:space="0" w:color="auto"/>
        <w:bottom w:val="none" w:sz="0" w:space="0" w:color="auto"/>
        <w:right w:val="none" w:sz="0" w:space="0" w:color="auto"/>
      </w:divBdr>
    </w:div>
    <w:div w:id="1045955704">
      <w:bodyDiv w:val="1"/>
      <w:marLeft w:val="0"/>
      <w:marRight w:val="0"/>
      <w:marTop w:val="0"/>
      <w:marBottom w:val="0"/>
      <w:divBdr>
        <w:top w:val="none" w:sz="0" w:space="0" w:color="auto"/>
        <w:left w:val="none" w:sz="0" w:space="0" w:color="auto"/>
        <w:bottom w:val="none" w:sz="0" w:space="0" w:color="auto"/>
        <w:right w:val="none" w:sz="0" w:space="0" w:color="auto"/>
      </w:divBdr>
    </w:div>
    <w:div w:id="1065102834">
      <w:bodyDiv w:val="1"/>
      <w:marLeft w:val="0"/>
      <w:marRight w:val="0"/>
      <w:marTop w:val="0"/>
      <w:marBottom w:val="0"/>
      <w:divBdr>
        <w:top w:val="none" w:sz="0" w:space="0" w:color="auto"/>
        <w:left w:val="none" w:sz="0" w:space="0" w:color="auto"/>
        <w:bottom w:val="none" w:sz="0" w:space="0" w:color="auto"/>
        <w:right w:val="none" w:sz="0" w:space="0" w:color="auto"/>
      </w:divBdr>
    </w:div>
    <w:div w:id="1130247148">
      <w:bodyDiv w:val="1"/>
      <w:marLeft w:val="0"/>
      <w:marRight w:val="0"/>
      <w:marTop w:val="0"/>
      <w:marBottom w:val="0"/>
      <w:divBdr>
        <w:top w:val="none" w:sz="0" w:space="0" w:color="auto"/>
        <w:left w:val="none" w:sz="0" w:space="0" w:color="auto"/>
        <w:bottom w:val="none" w:sz="0" w:space="0" w:color="auto"/>
        <w:right w:val="none" w:sz="0" w:space="0" w:color="auto"/>
      </w:divBdr>
    </w:div>
    <w:div w:id="1456827346">
      <w:bodyDiv w:val="1"/>
      <w:marLeft w:val="0"/>
      <w:marRight w:val="0"/>
      <w:marTop w:val="0"/>
      <w:marBottom w:val="0"/>
      <w:divBdr>
        <w:top w:val="none" w:sz="0" w:space="0" w:color="auto"/>
        <w:left w:val="none" w:sz="0" w:space="0" w:color="auto"/>
        <w:bottom w:val="none" w:sz="0" w:space="0" w:color="auto"/>
        <w:right w:val="none" w:sz="0" w:space="0" w:color="auto"/>
      </w:divBdr>
    </w:div>
    <w:div w:id="1472288317">
      <w:bodyDiv w:val="1"/>
      <w:marLeft w:val="0"/>
      <w:marRight w:val="0"/>
      <w:marTop w:val="0"/>
      <w:marBottom w:val="0"/>
      <w:divBdr>
        <w:top w:val="none" w:sz="0" w:space="0" w:color="auto"/>
        <w:left w:val="none" w:sz="0" w:space="0" w:color="auto"/>
        <w:bottom w:val="none" w:sz="0" w:space="0" w:color="auto"/>
        <w:right w:val="none" w:sz="0" w:space="0" w:color="auto"/>
      </w:divBdr>
    </w:div>
    <w:div w:id="1489857696">
      <w:bodyDiv w:val="1"/>
      <w:marLeft w:val="0"/>
      <w:marRight w:val="0"/>
      <w:marTop w:val="0"/>
      <w:marBottom w:val="0"/>
      <w:divBdr>
        <w:top w:val="none" w:sz="0" w:space="0" w:color="auto"/>
        <w:left w:val="none" w:sz="0" w:space="0" w:color="auto"/>
        <w:bottom w:val="none" w:sz="0" w:space="0" w:color="auto"/>
        <w:right w:val="none" w:sz="0" w:space="0" w:color="auto"/>
      </w:divBdr>
    </w:div>
    <w:div w:id="1499803599">
      <w:bodyDiv w:val="1"/>
      <w:marLeft w:val="0"/>
      <w:marRight w:val="0"/>
      <w:marTop w:val="0"/>
      <w:marBottom w:val="0"/>
      <w:divBdr>
        <w:top w:val="none" w:sz="0" w:space="0" w:color="auto"/>
        <w:left w:val="none" w:sz="0" w:space="0" w:color="auto"/>
        <w:bottom w:val="none" w:sz="0" w:space="0" w:color="auto"/>
        <w:right w:val="none" w:sz="0" w:space="0" w:color="auto"/>
      </w:divBdr>
    </w:div>
    <w:div w:id="1511525287">
      <w:bodyDiv w:val="1"/>
      <w:marLeft w:val="0"/>
      <w:marRight w:val="0"/>
      <w:marTop w:val="0"/>
      <w:marBottom w:val="0"/>
      <w:divBdr>
        <w:top w:val="none" w:sz="0" w:space="0" w:color="auto"/>
        <w:left w:val="none" w:sz="0" w:space="0" w:color="auto"/>
        <w:bottom w:val="none" w:sz="0" w:space="0" w:color="auto"/>
        <w:right w:val="none" w:sz="0" w:space="0" w:color="auto"/>
      </w:divBdr>
    </w:div>
    <w:div w:id="1528979444">
      <w:bodyDiv w:val="1"/>
      <w:marLeft w:val="0"/>
      <w:marRight w:val="0"/>
      <w:marTop w:val="0"/>
      <w:marBottom w:val="0"/>
      <w:divBdr>
        <w:top w:val="none" w:sz="0" w:space="0" w:color="auto"/>
        <w:left w:val="none" w:sz="0" w:space="0" w:color="auto"/>
        <w:bottom w:val="none" w:sz="0" w:space="0" w:color="auto"/>
        <w:right w:val="none" w:sz="0" w:space="0" w:color="auto"/>
      </w:divBdr>
    </w:div>
    <w:div w:id="1567103177">
      <w:bodyDiv w:val="1"/>
      <w:marLeft w:val="0"/>
      <w:marRight w:val="0"/>
      <w:marTop w:val="0"/>
      <w:marBottom w:val="0"/>
      <w:divBdr>
        <w:top w:val="none" w:sz="0" w:space="0" w:color="auto"/>
        <w:left w:val="none" w:sz="0" w:space="0" w:color="auto"/>
        <w:bottom w:val="none" w:sz="0" w:space="0" w:color="auto"/>
        <w:right w:val="none" w:sz="0" w:space="0" w:color="auto"/>
      </w:divBdr>
    </w:div>
    <w:div w:id="1696809156">
      <w:bodyDiv w:val="1"/>
      <w:marLeft w:val="0"/>
      <w:marRight w:val="0"/>
      <w:marTop w:val="0"/>
      <w:marBottom w:val="0"/>
      <w:divBdr>
        <w:top w:val="none" w:sz="0" w:space="0" w:color="auto"/>
        <w:left w:val="none" w:sz="0" w:space="0" w:color="auto"/>
        <w:bottom w:val="none" w:sz="0" w:space="0" w:color="auto"/>
        <w:right w:val="none" w:sz="0" w:space="0" w:color="auto"/>
      </w:divBdr>
    </w:div>
    <w:div w:id="1706708952">
      <w:bodyDiv w:val="1"/>
      <w:marLeft w:val="0"/>
      <w:marRight w:val="0"/>
      <w:marTop w:val="0"/>
      <w:marBottom w:val="0"/>
      <w:divBdr>
        <w:top w:val="none" w:sz="0" w:space="0" w:color="auto"/>
        <w:left w:val="none" w:sz="0" w:space="0" w:color="auto"/>
        <w:bottom w:val="none" w:sz="0" w:space="0" w:color="auto"/>
        <w:right w:val="none" w:sz="0" w:space="0" w:color="auto"/>
      </w:divBdr>
    </w:div>
    <w:div w:id="1763606272">
      <w:bodyDiv w:val="1"/>
      <w:marLeft w:val="0"/>
      <w:marRight w:val="0"/>
      <w:marTop w:val="0"/>
      <w:marBottom w:val="0"/>
      <w:divBdr>
        <w:top w:val="none" w:sz="0" w:space="0" w:color="auto"/>
        <w:left w:val="none" w:sz="0" w:space="0" w:color="auto"/>
        <w:bottom w:val="none" w:sz="0" w:space="0" w:color="auto"/>
        <w:right w:val="none" w:sz="0" w:space="0" w:color="auto"/>
      </w:divBdr>
    </w:div>
    <w:div w:id="1789854650">
      <w:bodyDiv w:val="1"/>
      <w:marLeft w:val="0"/>
      <w:marRight w:val="0"/>
      <w:marTop w:val="0"/>
      <w:marBottom w:val="0"/>
      <w:divBdr>
        <w:top w:val="none" w:sz="0" w:space="0" w:color="auto"/>
        <w:left w:val="none" w:sz="0" w:space="0" w:color="auto"/>
        <w:bottom w:val="none" w:sz="0" w:space="0" w:color="auto"/>
        <w:right w:val="none" w:sz="0" w:space="0" w:color="auto"/>
      </w:divBdr>
    </w:div>
    <w:div w:id="1873767021">
      <w:bodyDiv w:val="1"/>
      <w:marLeft w:val="0"/>
      <w:marRight w:val="0"/>
      <w:marTop w:val="0"/>
      <w:marBottom w:val="0"/>
      <w:divBdr>
        <w:top w:val="none" w:sz="0" w:space="0" w:color="auto"/>
        <w:left w:val="none" w:sz="0" w:space="0" w:color="auto"/>
        <w:bottom w:val="none" w:sz="0" w:space="0" w:color="auto"/>
        <w:right w:val="none" w:sz="0" w:space="0" w:color="auto"/>
      </w:divBdr>
    </w:div>
    <w:div w:id="1907687990">
      <w:bodyDiv w:val="1"/>
      <w:marLeft w:val="0"/>
      <w:marRight w:val="0"/>
      <w:marTop w:val="0"/>
      <w:marBottom w:val="0"/>
      <w:divBdr>
        <w:top w:val="none" w:sz="0" w:space="0" w:color="auto"/>
        <w:left w:val="none" w:sz="0" w:space="0" w:color="auto"/>
        <w:bottom w:val="none" w:sz="0" w:space="0" w:color="auto"/>
        <w:right w:val="none" w:sz="0" w:space="0" w:color="auto"/>
      </w:divBdr>
    </w:div>
    <w:div w:id="1933584928">
      <w:bodyDiv w:val="1"/>
      <w:marLeft w:val="0"/>
      <w:marRight w:val="0"/>
      <w:marTop w:val="0"/>
      <w:marBottom w:val="0"/>
      <w:divBdr>
        <w:top w:val="none" w:sz="0" w:space="0" w:color="auto"/>
        <w:left w:val="none" w:sz="0" w:space="0" w:color="auto"/>
        <w:bottom w:val="none" w:sz="0" w:space="0" w:color="auto"/>
        <w:right w:val="none" w:sz="0" w:space="0" w:color="auto"/>
      </w:divBdr>
    </w:div>
    <w:div w:id="1964532066">
      <w:bodyDiv w:val="1"/>
      <w:marLeft w:val="0"/>
      <w:marRight w:val="0"/>
      <w:marTop w:val="0"/>
      <w:marBottom w:val="0"/>
      <w:divBdr>
        <w:top w:val="none" w:sz="0" w:space="0" w:color="auto"/>
        <w:left w:val="none" w:sz="0" w:space="0" w:color="auto"/>
        <w:bottom w:val="none" w:sz="0" w:space="0" w:color="auto"/>
        <w:right w:val="none" w:sz="0" w:space="0" w:color="auto"/>
      </w:divBdr>
    </w:div>
    <w:div w:id="1983802215">
      <w:bodyDiv w:val="1"/>
      <w:marLeft w:val="0"/>
      <w:marRight w:val="0"/>
      <w:marTop w:val="0"/>
      <w:marBottom w:val="0"/>
      <w:divBdr>
        <w:top w:val="none" w:sz="0" w:space="0" w:color="auto"/>
        <w:left w:val="none" w:sz="0" w:space="0" w:color="auto"/>
        <w:bottom w:val="none" w:sz="0" w:space="0" w:color="auto"/>
        <w:right w:val="none" w:sz="0" w:space="0" w:color="auto"/>
      </w:divBdr>
    </w:div>
    <w:div w:id="2028435746">
      <w:bodyDiv w:val="1"/>
      <w:marLeft w:val="0"/>
      <w:marRight w:val="0"/>
      <w:marTop w:val="0"/>
      <w:marBottom w:val="0"/>
      <w:divBdr>
        <w:top w:val="none" w:sz="0" w:space="0" w:color="auto"/>
        <w:left w:val="none" w:sz="0" w:space="0" w:color="auto"/>
        <w:bottom w:val="none" w:sz="0" w:space="0" w:color="auto"/>
        <w:right w:val="none" w:sz="0" w:space="0" w:color="auto"/>
      </w:divBdr>
    </w:div>
    <w:div w:id="2062440335">
      <w:bodyDiv w:val="1"/>
      <w:marLeft w:val="0"/>
      <w:marRight w:val="0"/>
      <w:marTop w:val="0"/>
      <w:marBottom w:val="0"/>
      <w:divBdr>
        <w:top w:val="none" w:sz="0" w:space="0" w:color="auto"/>
        <w:left w:val="none" w:sz="0" w:space="0" w:color="auto"/>
        <w:bottom w:val="none" w:sz="0" w:space="0" w:color="auto"/>
        <w:right w:val="none" w:sz="0" w:space="0" w:color="auto"/>
      </w:divBdr>
    </w:div>
    <w:div w:id="2064712925">
      <w:bodyDiv w:val="1"/>
      <w:marLeft w:val="0"/>
      <w:marRight w:val="0"/>
      <w:marTop w:val="0"/>
      <w:marBottom w:val="0"/>
      <w:divBdr>
        <w:top w:val="none" w:sz="0" w:space="0" w:color="auto"/>
        <w:left w:val="none" w:sz="0" w:space="0" w:color="auto"/>
        <w:bottom w:val="none" w:sz="0" w:space="0" w:color="auto"/>
        <w:right w:val="none" w:sz="0" w:space="0" w:color="auto"/>
      </w:divBdr>
    </w:div>
    <w:div w:id="2076776367">
      <w:bodyDiv w:val="1"/>
      <w:marLeft w:val="0"/>
      <w:marRight w:val="0"/>
      <w:marTop w:val="0"/>
      <w:marBottom w:val="0"/>
      <w:divBdr>
        <w:top w:val="none" w:sz="0" w:space="0" w:color="auto"/>
        <w:left w:val="none" w:sz="0" w:space="0" w:color="auto"/>
        <w:bottom w:val="none" w:sz="0" w:space="0" w:color="auto"/>
        <w:right w:val="none" w:sz="0" w:space="0" w:color="auto"/>
      </w:divBdr>
    </w:div>
    <w:div w:id="2107992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éférence numérique" Version="1987">
  <b:Source>
    <b:Tag>Gri19</b:Tag>
    <b:SourceType>JournalArticle</b:SourceType>
    <b:Guid>{A33AEF81-3113-ED44-A705-523C4064A299}</b:Guid>
    <b:Title> Multi-collector ICP-mass spectrometry reveals changes in the serum Mg isotopic composition in diabetes type I patients.</b:Title>
    <b:Year>2019</b:Year>
    <b:Author>
      <b:Author>
        <b:NameList>
          <b:Person>
            <b:Last>Grigoryan</b:Last>
            <b:First>R.,</b:First>
            <b:Middle>Costas-Rodríguez, M., Van Laecke, S., Speeckaert, M., Lapauw, B., &amp; Vanhaecke, F.</b:Middle>
          </b:Person>
        </b:NameList>
      </b:Author>
    </b:Author>
    <b:LCID>en-US</b:LCID>
    <b:JournalName>Journal of Analytical Atomic Spectrometry</b:JournalName>
    <b:Pages> 34(7), 1514-1521</b:Pages>
    <b:RefOrder>4</b:RefOrder>
  </b:Source>
  <b:Source>
    <b:Tag>Sch92</b:Tag>
    <b:SourceType>JournalArticle</b:SourceType>
    <b:Guid>{B6CCF430-414E-504E-84CB-8EE9759BD1BA}</b:Guid>
    <b:Author>
      <b:Author>
        <b:NameList>
          <b:Person>
            <b:Last>Schnack</b:Last>
            <b:First>C.</b:First>
            <b:Middle>H., Bauer, I., Pregant, P., Hopmeier, P., &amp; Schernthaner, G.</b:Middle>
          </b:Person>
        </b:NameList>
      </b:Author>
    </b:Author>
    <b:Title>Hypomagnesaemia in type 2 (non-insulin-dependent) diabetes mellitus is not corrected by improvement of long-term metabolic control</b:Title>
    <b:JournalName>Diabetologia</b:JournalName>
    <b:Year>1992</b:Year>
    <b:Pages>35(1), 77-79</b:Pages>
    <b:RefOrder>1</b:RefOrder>
  </b:Source>
  <b:Source>
    <b:Tag>DeB15</b:Tag>
    <b:SourceType>JournalArticle</b:SourceType>
    <b:Guid>{FDB288B1-E1B5-1740-B406-36DD42F8E911}</b:Guid>
    <b:Author>
      <b:Author>
        <b:NameList>
          <b:Person>
            <b:Last>De Baaij</b:Last>
            <b:First>J.</b:First>
            <b:Middle>H., Hoenderop, J. G., &amp; Bindels, R. J</b:Middle>
          </b:Person>
        </b:NameList>
      </b:Author>
    </b:Author>
    <b:Title>Magnesium in man: implications for health and disease.</b:Title>
    <b:JournalName>Physiological reviews</b:JournalName>
    <b:Year>2015</b:Year>
    <b:RefOrder>3</b:RefOrder>
  </b:Source>
  <b:Source>
    <b:Tag>Wan05</b:Tag>
    <b:SourceType>JournalArticle</b:SourceType>
    <b:Guid>{A63070EF-EC0F-AC4D-911A-005461848FD2}</b:Guid>
    <b:Author>
      <b:Author>
        <b:NameList>
          <b:Person>
            <b:Last>Wang</b:Last>
            <b:First>J.</b:First>
            <b:Middle>L., Shaw, N. S., Yeh, H. Y., &amp; Kao, M. D</b:Middle>
          </b:Person>
        </b:NameList>
      </b:Author>
    </b:Author>
    <b:Title>Magnesium status and association with diabetes in the Taiwanese elderly</b:Title>
    <b:JournalName>Asia Pacific journal of clinical nutrition</b:JournalName>
    <b:Year>2005</b:Year>
    <b:Pages>14(3)</b:Pages>
    <b:RefOrder>2</b:RefOrder>
  </b:Source>
</b:Sources>
</file>

<file path=customXml/itemProps1.xml><?xml version="1.0" encoding="utf-8"?>
<ds:datastoreItem xmlns:ds="http://schemas.openxmlformats.org/officeDocument/2006/customXml" ds:itemID="{1FCFA3E6-6D93-0142-8ED4-F3B25947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523</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École Normale Supérieure de Lyon</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GARNAUD</dc:creator>
  <cp:lastModifiedBy>Samuel Le GOFF</cp:lastModifiedBy>
  <cp:revision>10</cp:revision>
  <cp:lastPrinted>2020-08-21T09:59:00Z</cp:lastPrinted>
  <dcterms:created xsi:type="dcterms:W3CDTF">2020-08-21T09:00:00Z</dcterms:created>
  <dcterms:modified xsi:type="dcterms:W3CDTF">2020-08-28T15:14:00Z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vt:lpwstr>
  </property>
  <property fmtid="{D5CDD505-2E9C-101B-9397-08002B2CF9AE}" pid="4" name="LastSaved">
    <vt:filetime>2020-08-21T00:00:00Z</vt:filetime>
  </property>
</Properties>
</file>